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036C6">
      <w:pPr>
        <w:jc w:val="center"/>
        <w:rPr>
          <w:rFonts w:hint="eastAsia"/>
        </w:rPr>
      </w:pPr>
      <w:r>
        <w:rPr>
          <w:rFonts w:hint="eastAsia" w:ascii="微软雅黑" w:hAnsi="微软雅黑" w:eastAsia="微软雅黑" w:cs="微软雅黑"/>
          <w:b/>
          <w:bCs/>
          <w:i w:val="0"/>
          <w:iCs w:val="0"/>
          <w:caps w:val="0"/>
          <w:color w:val="404040"/>
          <w:spacing w:val="0"/>
          <w:kern w:val="0"/>
          <w:sz w:val="28"/>
          <w:szCs w:val="28"/>
          <w:shd w:val="clear" w:fill="FFFFFF"/>
          <w:lang w:val="en-US" w:eastAsia="zh-CN" w:bidi="ar"/>
        </w:rPr>
        <w:t>律师参与调解法律事务月刊（2509）</w:t>
      </w:r>
    </w:p>
    <w:p w14:paraId="1C073456">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p>
    <w:p w14:paraId="1AB8DF9A">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2025年9月，浙江律师调解在跨区域协同、行业专项治理、基层前端化解三大领域实现深度突破。从长三角商事纠纷的“一小时和解”到义乌涉外矛盾的“法治破冰”，从道交纠纷的“15日速赔”到园区矛盾的“20分钟响应”，律师以专业视角搭建信任桥梁，用法律智慧破解化解难题，成为多元解纷体系的核心力量。</w:t>
      </w:r>
    </w:p>
    <w:p w14:paraId="698371C4">
      <w:pPr>
        <w:keepNext w:val="0"/>
        <w:keepLines w:val="0"/>
        <w:pageBreakBefore w:val="0"/>
        <w:widowControl w:val="0"/>
        <w:numPr>
          <w:ilvl w:val="0"/>
          <w:numId w:val="1"/>
        </w:numPr>
        <w:kinsoku/>
        <w:wordWrap/>
        <w:overflowPunct/>
        <w:topLinePunct w:val="0"/>
        <w:autoSpaceDE/>
        <w:autoSpaceDN/>
        <w:bidi w:val="0"/>
        <w:adjustRightInd/>
        <w:snapToGrid w:val="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核心聚焦：律师调解的四大实践方向</w:t>
      </w:r>
    </w:p>
    <w:p w14:paraId="779A6A76">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（一）跨域商事调解：构建长三角协同新生态</w:t>
      </w:r>
    </w:p>
    <w:p w14:paraId="4AA6A89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9月28日长三角示范区“改革面对面”活动明确，律师成为跨域商事调解的“核心纽带”。嘉兴南湖区率先落地“长三角跨域解纷工作站”，驻站律师深度参与沪苏浙皖企业纠纷处置，创新“线上合议+法律适配”机制——对跨区域合同争议，律师团队同步核查三地交易惯例与法律规定，形成统一调解方案。如某沪浙信息公司与南京影视公司的利润分成纠纷，律师联合法官、商会调解员开展线上调解，1小时达成分期支付协议，避免异地诉讼耗时成本。</w:t>
      </w:r>
    </w:p>
    <w:p w14:paraId="2B6F9374">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来源：《2025年长三角生态绿色一体化发展示范区“改革面对面”活动举行》</w:t>
      </w:r>
    </w:p>
    <w:p w14:paraId="33F7AA1F">
      <w:pPr>
        <w:keepNext w:val="0"/>
        <w:keepLines w:val="0"/>
        <w:pageBreakBefore w:val="0"/>
        <w:widowControl w:val="0"/>
        <w:kinsoku/>
        <w:wordWrap/>
        <w:overflowPunct/>
        <w:topLinePunct w:val="0"/>
        <w:autoSpaceDE/>
        <w:autoSpaceDN/>
        <w:bidi w:val="0"/>
        <w:adjustRightInd/>
        <w:snapToGrid w:val="0"/>
        <w:ind w:firstLine="560" w:firstLineChars="200"/>
        <w:textAlignment w:val="auto"/>
        <w:rPr>
          <w:rStyle w:val="9"/>
          <w:rFonts w:hint="eastAsia" w:ascii="微软雅黑" w:hAnsi="微软雅黑" w:eastAsia="微软雅黑" w:cs="微软雅黑"/>
          <w:i w:val="0"/>
          <w:iCs w:val="0"/>
          <w:caps w:val="0"/>
          <w:spacing w:val="0"/>
          <w:kern w:val="2"/>
          <w:sz w:val="28"/>
          <w:szCs w:val="28"/>
          <w:shd w:val="clear" w:fill="FFFFFF"/>
          <w:lang w:val="en-US" w:eastAsia="zh-CN" w:bidi="ar-SA"/>
        </w:rPr>
      </w:pPr>
      <w:r>
        <w:rPr>
          <w:rStyle w:val="9"/>
          <w:rFonts w:hint="eastAsia" w:ascii="微软雅黑" w:hAnsi="微软雅黑" w:eastAsia="微软雅黑" w:cs="微软雅黑"/>
          <w:i w:val="0"/>
          <w:iCs w:val="0"/>
          <w:caps w:val="0"/>
          <w:spacing w:val="0"/>
          <w:kern w:val="2"/>
          <w:sz w:val="28"/>
          <w:szCs w:val="28"/>
          <w:shd w:val="clear" w:fill="FFFFFF"/>
          <w:lang w:val="en-US" w:eastAsia="zh-CN" w:bidi="ar-SA"/>
        </w:rPr>
        <w:fldChar w:fldCharType="begin"/>
      </w:r>
      <w:r>
        <w:rPr>
          <w:rStyle w:val="9"/>
          <w:rFonts w:hint="eastAsia" w:ascii="微软雅黑" w:hAnsi="微软雅黑" w:eastAsia="微软雅黑" w:cs="微软雅黑"/>
          <w:i w:val="0"/>
          <w:iCs w:val="0"/>
          <w:caps w:val="0"/>
          <w:spacing w:val="0"/>
          <w:kern w:val="2"/>
          <w:sz w:val="28"/>
          <w:szCs w:val="28"/>
          <w:shd w:val="clear" w:fill="FFFFFF"/>
          <w:lang w:val="en-US" w:eastAsia="zh-CN" w:bidi="ar-SA"/>
        </w:rPr>
        <w:instrText xml:space="preserve"> HYPERLINK "https://sghexport.shobserver.com/html/baijiahao/2025/09/28/1647345.html" </w:instrText>
      </w:r>
      <w:r>
        <w:rPr>
          <w:rStyle w:val="9"/>
          <w:rFonts w:hint="eastAsia" w:ascii="微软雅黑" w:hAnsi="微软雅黑" w:eastAsia="微软雅黑" w:cs="微软雅黑"/>
          <w:i w:val="0"/>
          <w:iCs w:val="0"/>
          <w:caps w:val="0"/>
          <w:spacing w:val="0"/>
          <w:kern w:val="2"/>
          <w:sz w:val="28"/>
          <w:szCs w:val="28"/>
          <w:shd w:val="clear" w:fill="FFFFFF"/>
          <w:lang w:val="en-US" w:eastAsia="zh-CN" w:bidi="ar-SA"/>
        </w:rPr>
        <w:fldChar w:fldCharType="separate"/>
      </w:r>
      <w:r>
        <w:rPr>
          <w:rStyle w:val="9"/>
          <w:rFonts w:hint="eastAsia" w:ascii="微软雅黑" w:hAnsi="微软雅黑" w:eastAsia="微软雅黑" w:cs="微软雅黑"/>
          <w:i w:val="0"/>
          <w:iCs w:val="0"/>
          <w:caps w:val="0"/>
          <w:spacing w:val="0"/>
          <w:kern w:val="2"/>
          <w:sz w:val="28"/>
          <w:szCs w:val="28"/>
          <w:shd w:val="clear" w:fill="FFFFFF"/>
          <w:lang w:val="en-US" w:eastAsia="zh-CN" w:bidi="ar-SA"/>
        </w:rPr>
        <w:t>https://sghexport.shobserver.com/html/baijiahao/2025/09/28/1647345.html</w:t>
      </w:r>
      <w:r>
        <w:rPr>
          <w:rStyle w:val="9"/>
          <w:rFonts w:hint="eastAsia" w:ascii="微软雅黑" w:hAnsi="微软雅黑" w:eastAsia="微软雅黑" w:cs="微软雅黑"/>
          <w:i w:val="0"/>
          <w:iCs w:val="0"/>
          <w:caps w:val="0"/>
          <w:spacing w:val="0"/>
          <w:kern w:val="2"/>
          <w:sz w:val="28"/>
          <w:szCs w:val="28"/>
          <w:shd w:val="clear" w:fill="FFFFFF"/>
          <w:lang w:val="en-US" w:eastAsia="zh-CN" w:bidi="ar-SA"/>
        </w:rPr>
        <w:fldChar w:fldCharType="end"/>
      </w:r>
    </w:p>
    <w:p w14:paraId="5294C76C">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（二）涉外纠纷化解：“专业+文化”双轨赋能</w:t>
      </w:r>
    </w:p>
    <w:p w14:paraId="7B3788D2">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绍兴柯桥、义乌等地律师深度参与涉外调解体系建设，形成“法律库支撑+联合调解”模式：</w:t>
      </w:r>
    </w:p>
    <w:p w14:paraId="6DA5F1E3">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w:t>
      </w: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柯桥实践</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：律师牵头编纂《涉外纺织贸易纠纷处理指引》，涵盖国际贸易术语、质量争议认定等 12 类高频问题，本月依托该指引化解中外贸易纠纷9起，涉及金额800余万元；</w:t>
      </w:r>
    </w:p>
    <w:p w14:paraId="4BEFE163">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w:t>
      </w: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义乌创新</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律师与“洋娘舅”组建联合调解组，在尼日利亚商人安东尼与本地供应链公司的货运代理纠纷中，律师厘清违约责任与担保条款，外籍调解员衔接文化差异，最终促成70万元分期赔付协议，并同步出具英文版合同风险提示。</w:t>
      </w:r>
    </w:p>
    <w:p w14:paraId="352A9890">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来源：《浙江司法行政机关积极推进涉外法治建设 构建“全生命周期”涉外法律服务体系》</w:t>
      </w:r>
    </w:p>
    <w:p w14:paraId="4663CF68">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fldChar w:fldCharType="begin"/>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instrText xml:space="preserve"> HYPERLINK "https://www.toutiao.com/article/7559787314004754980/?upstream_biz=doubao&amp;source=m_redirect&amp;wid=1760165796294" </w:instrTex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fldChar w:fldCharType="separate"/>
      </w:r>
      <w:r>
        <w:rPr>
          <w:rStyle w:val="9"/>
          <w:rFonts w:hint="eastAsia" w:ascii="微软雅黑" w:hAnsi="微软雅黑" w:eastAsia="微软雅黑" w:cs="微软雅黑"/>
          <w:i w:val="0"/>
          <w:iCs w:val="0"/>
          <w:caps w:val="0"/>
          <w:spacing w:val="0"/>
          <w:kern w:val="2"/>
          <w:sz w:val="28"/>
          <w:szCs w:val="28"/>
          <w:shd w:val="clear" w:fill="FFFFFF"/>
          <w:lang w:val="en-US" w:eastAsia="zh-CN" w:bidi="ar-SA"/>
        </w:rPr>
        <w:t>https://www.toutiao.com/article/7559787314004754980/?upstream_biz=doubao&amp;source=m_redirect&amp;wid=1760165796294</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fldChar w:fldCharType="end"/>
      </w:r>
    </w:p>
    <w:p w14:paraId="359943DF">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（三）行业专项治理：道交纠纷的“法保联调”样本</w:t>
      </w:r>
    </w:p>
    <w:p w14:paraId="1555B727">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温州鹿城“法保联调”专项行动中，律师以“专业定损+条款释明”破解道交纠纷痛点，7-9月累计参与调解209件，调撤率达40.7%：</w:t>
      </w:r>
    </w:p>
    <w:p w14:paraId="41A9796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w:t>
      </w: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技术支撑</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：律师联合保险理赔专家制定《道交纠纷赔付标准指引》，明确疤痕修复、误工损失等争议的法律依据，如林某脚踝受伤索赔美容费时，律师援引《人身保险伤残评定标准》促成赔付共识；</w:t>
      </w:r>
    </w:p>
    <w:p w14:paraId="0667302E">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w:t>
      </w: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效率提升</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：律师参与建立“先赔付后争议”机制，对吴某母亲重伤案，3日内协调保险公司先行赔付 95.5万元交强险费用，后续争议通过调解闭环解决，28件案件实现15日内“调解-赔付”全流程。</w:t>
      </w:r>
    </w:p>
    <w:p w14:paraId="6A1E78F1">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来源：《三记调解“法宝”让道交纠纷化解既快又好》</w:t>
      </w:r>
    </w:p>
    <w:p w14:paraId="0E622A68">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instrText xml:space="preserve"> HYPERLINK "http://epaper.legaldaily.com.cn/fzrb/content/20250922/Articel03005GN.htm" </w:instrTex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i w:val="0"/>
          <w:iCs w:val="0"/>
          <w:caps w:val="0"/>
          <w:spacing w:val="0"/>
          <w:kern w:val="2"/>
          <w:sz w:val="28"/>
          <w:szCs w:val="28"/>
          <w:shd w:val="clear" w:fill="FFFFFF"/>
          <w:lang w:val="en-US" w:eastAsia="zh-CN" w:bidi="ar-SA"/>
        </w:rPr>
        <w:t>http://epaper.legaldaily.com.cn/fzrb/content/20250922/Articel03005GN.htm</w: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end"/>
      </w:r>
    </w:p>
    <w:p w14:paraId="1C3E40B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（四）基层前端化解：园区里的 “司法急诊室”</w:t>
      </w:r>
    </w:p>
    <w:p w14:paraId="4F2EB686">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t>永康、金华等地律师嵌入基层治理微单元，创新“即时响应+源头预防”模式：</w:t>
      </w:r>
    </w:p>
    <w:p w14:paraId="1388FDD2">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t>•</w:t>
      </w:r>
      <w:r>
        <w:rPr>
          <w:rFonts w:hint="default" w:ascii="微软雅黑" w:hAnsi="微软雅黑" w:eastAsia="微软雅黑" w:cs="微软雅黑"/>
          <w:b/>
          <w:bCs/>
          <w:i w:val="0"/>
          <w:iCs w:val="0"/>
          <w:caps w:val="0"/>
          <w:color w:val="404040"/>
          <w:spacing w:val="0"/>
          <w:kern w:val="2"/>
          <w:sz w:val="28"/>
          <w:szCs w:val="28"/>
          <w:shd w:val="clear" w:fill="FFFFFF"/>
          <w:lang w:val="en-US" w:eastAsia="zh-CN" w:bidi="ar-SA"/>
        </w:rPr>
        <w:t>永康实践</w: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t>：龙山法庭联合律师在浙商回归园设立“司法急诊室”，律师驻点提供纠纷预判、合同审查服务，9月响应企业纠纷平均耗时不足20分钟，成功化解12起车间劳资、设备租赁争议；</w:t>
      </w:r>
    </w:p>
    <w:p w14:paraId="2D3C4807">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t>•</w:t>
      </w:r>
      <w:r>
        <w:rPr>
          <w:rFonts w:hint="default" w:ascii="微软雅黑" w:hAnsi="微软雅黑" w:eastAsia="微软雅黑" w:cs="微软雅黑"/>
          <w:b/>
          <w:bCs/>
          <w:i w:val="0"/>
          <w:iCs w:val="0"/>
          <w:caps w:val="0"/>
          <w:color w:val="404040"/>
          <w:spacing w:val="0"/>
          <w:kern w:val="2"/>
          <w:sz w:val="28"/>
          <w:szCs w:val="28"/>
          <w:shd w:val="clear" w:fill="FFFFFF"/>
          <w:lang w:val="en-US" w:eastAsia="zh-CN" w:bidi="ar-SA"/>
        </w:rPr>
        <w:t>全省推广</w: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t>：平安浙江网9月专栏显示，金华商事调解组织试点“律师+行业专家”模式，湖州推行“司法民情日记”制度，律师随调解员入户梳理潜在矛盾，本月基层纠纷诉前化解率提升18%。</w:t>
      </w:r>
    </w:p>
    <w:p w14:paraId="4B5D58A0">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来源：《永康浙商回归园车间里有了“司法急诊室”》</w:t>
      </w:r>
    </w:p>
    <w:p w14:paraId="63B726BC">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instrText xml:space="preserve"> HYPERLINK "https://www.zjsfgkw.gov.cn/art/2025/9/19/art_56_40497.html" </w:instrTex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i w:val="0"/>
          <w:iCs w:val="0"/>
          <w:caps w:val="0"/>
          <w:spacing w:val="0"/>
          <w:kern w:val="2"/>
          <w:sz w:val="28"/>
          <w:szCs w:val="28"/>
          <w:shd w:val="clear" w:fill="FFFFFF"/>
          <w:lang w:val="en-US" w:eastAsia="zh-CN" w:bidi="ar-SA"/>
        </w:rPr>
        <w:t>https://www.zjsfgkw.gov.cn/art/2025/9/19/art_56_40497.html</w: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end"/>
      </w:r>
    </w:p>
    <w:p w14:paraId="3315DD96">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二、基层实践：深化纠纷多元化解，构建高效协同治理格局</w:t>
      </w:r>
    </w:p>
    <w:p w14:paraId="49EFD274">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高效化解涉企纠纷是打造一流法治化营商环境的必然要求。民营经济促进法规定“建立健全矛盾纠纷多元化解机制，为民营经济组织维护合法权益提供便利”。人民法院要主动融入党委领导下的社会治理体系，推动构建“源头预防、非诉挺前、诉讼断后”的递进式解纷模式，提升涉企纠纷多元化解实效。</w:t>
      </w:r>
    </w:p>
    <w:p w14:paraId="4E9B2D3A">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一方面，要深化内外联动，与行业主管部门、行业协会畅通诉调衔接机制，共同培育专业性调解品牌，提升行业解纷效能；另一方面，要推动公证机构、律所等社会组织参与商事调解工作，助力培育外贸、投资、运输等领域商事调解组织，综合运用“示范判决+调解指导+司法确认+强制执行”全链条辅助机制，提升市场化解纷的规范性、权威性。</w:t>
      </w:r>
    </w:p>
    <w:p w14:paraId="56F5B618">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要全力助推综治中心规范化建设，对依托基层综治中心整合起来的各类调解组织加大专业指导力度，推动涉企纠纷“一站式受理、专业化调处、全流程跟踪、实质性化解”，降低企业维权成本，充分释放市场主体活力。</w:t>
      </w:r>
    </w:p>
    <w:p w14:paraId="677FFF4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来源：浙江法院网《杜前：以司法之力护航民营经济行稳致远》</w:t>
      </w:r>
    </w:p>
    <w:p w14:paraId="52921E3F">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instrText xml:space="preserve"> HYPERLINK "https://www.zjsfgkw.gov.cn/art/2025/9/17/art_56_40456.html" </w:instrTex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i w:val="0"/>
          <w:iCs w:val="0"/>
          <w:caps w:val="0"/>
          <w:spacing w:val="0"/>
          <w:kern w:val="2"/>
          <w:sz w:val="28"/>
          <w:szCs w:val="28"/>
          <w:shd w:val="clear" w:fill="FFFFFF"/>
          <w:lang w:val="en-US" w:eastAsia="zh-CN" w:bidi="ar-SA"/>
        </w:rPr>
        <w:t>https://www.zjsfgkw.gov.cn/art/2025/9/17/art_56_40456.html</w: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end"/>
      </w:r>
    </w:p>
    <w:p w14:paraId="3A21D4E0">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群众诉求“一站受理”、矛盾纠纷“一地化解”、数字赋能“一体服务”</w:t>
      </w:r>
    </w:p>
    <w:p w14:paraId="069AC45A">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宁波市鄞州区下应街道毗邻宁波东部新城，是鄞州区产城融合示范区。近年来，为推进平安鄞州建设，下应街道积极创建社会治安综合治理中心，搭建起由街道党工委和平安建设领导小组统筹的一体化社会治理综合平台。该平台秉持“规范运行、集成服务、闭环管理、智能支撑”理念，整合矛盾纠纷调处、社会治安防控、法治服务保障等核心职能，构建了多元矛盾纠纷化解体系。2025年上半年，群众满意度达100%。</w:t>
      </w:r>
    </w:p>
    <w:p w14:paraId="77EDA3E7">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一站式受理”让群众少跑腿，“一揽子调处”让纠纷不扩大。下应街道综治中心创新构建的各项机制为宁波市综治中心标准化建设提供了宝贵范本。在这里，每一个“急难愁盼”都被认真对待，每一次“寻门求助”都能得到有力回应，一个更高水平的平安下应正成为现实。</w:t>
      </w:r>
    </w:p>
    <w:p w14:paraId="325EF2F3">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val="0"/>
          <w:bCs w:val="0"/>
          <w:i w:val="0"/>
          <w:iCs w:val="0"/>
          <w:caps w:val="0"/>
          <w:color w:val="404040"/>
          <w:spacing w:val="0"/>
          <w:kern w:val="2"/>
          <w:sz w:val="28"/>
          <w:szCs w:val="28"/>
          <w:shd w:val="clear" w:fill="FFFFFF"/>
          <w:lang w:val="en-US" w:eastAsia="zh-CN" w:bidi="ar-SA"/>
        </w:rPr>
        <w:t>来源：《群众的“急难愁盼”，在这里有了“终点站”》</w:t>
      </w:r>
    </w:p>
    <w:p w14:paraId="090E256F">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instrText xml:space="preserve"> HYPERLINK "http://www.pazjw.gov.cn/shehuizhili/202509/t20250918_31237140.shtml" </w:instrText>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b w:val="0"/>
          <w:bCs w:val="0"/>
          <w:i w:val="0"/>
          <w:iCs w:val="0"/>
          <w:caps w:val="0"/>
          <w:spacing w:val="0"/>
          <w:kern w:val="2"/>
          <w:sz w:val="28"/>
          <w:szCs w:val="28"/>
          <w:shd w:val="clear" w:fill="FFFFFF"/>
          <w:lang w:val="en-US" w:eastAsia="zh-CN" w:bidi="ar-SA"/>
        </w:rPr>
        <w:t>http://www.pazjw.gov.cn/shehuizhili/202509/t20250918_31237140.shtml</w:t>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end"/>
      </w:r>
    </w:p>
    <w:p w14:paraId="52CFB350">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新添商事调解组织 金华打造试点样板</w:t>
      </w:r>
    </w:p>
    <w:p w14:paraId="14A3A264">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9月23日，金华市司法局、市中级人民法院在永康召开商事调解工作推进会。会上，揭牌成立4家商事调解组织。这意味着，当地在推动构建多元、高效、便民的商事调解纠纷解决体系进程中，又迈出了重要一步。</w:t>
      </w:r>
    </w:p>
    <w:p w14:paraId="4FCC482D">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作为市场大市和民营经济大市，金华各地商事活动频繁，纠纷化解需求迫切。当地不断深化商事纠纷多元化解机制、优化法治化营商环境。</w:t>
      </w:r>
    </w:p>
    <w:p w14:paraId="47E140FA">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金华</w:t>
      </w:r>
      <w:r>
        <w:rPr>
          <w:rFonts w:hint="eastAsia" w:ascii="微软雅黑" w:hAnsi="微软雅黑" w:eastAsia="微软雅黑" w:cs="微软雅黑"/>
          <w:b w:val="0"/>
          <w:bCs w:val="0"/>
          <w:i w:val="0"/>
          <w:iCs w:val="0"/>
          <w:caps w:val="0"/>
          <w:color w:val="404040"/>
          <w:spacing w:val="0"/>
          <w:kern w:val="2"/>
          <w:sz w:val="28"/>
          <w:szCs w:val="28"/>
          <w:shd w:val="clear" w:fill="FFFFFF"/>
          <w:lang w:val="en-US" w:eastAsia="zh-CN" w:bidi="ar-SA"/>
        </w:rPr>
        <w:t>司法局表示</w:t>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要坚持把非诉讼纠纷解决机制挺在前面，充分认识开展商事调解在优化营商环境、降低诉讼成本、提升社会治理效能中的重要意义；各家商事调解中心将在依托法院分流“主渠道”的同时，主动走出去，实现多维度案源拓展，实现“办好案、收到费、强起来”的良性循环；同时，结合本地产业特色、纠纷类型和当事人需求，打造一批制度完善、特色鲜明、成效突出的商事调解试点样板，形成可复制、可推广的县域经验。</w:t>
      </w:r>
    </w:p>
    <w:p w14:paraId="1163FFC7">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val="0"/>
          <w:bCs w:val="0"/>
          <w:i w:val="0"/>
          <w:iCs w:val="0"/>
          <w:caps w:val="0"/>
          <w:color w:val="404040"/>
          <w:spacing w:val="0"/>
          <w:kern w:val="2"/>
          <w:sz w:val="28"/>
          <w:szCs w:val="28"/>
          <w:shd w:val="clear" w:fill="FFFFFF"/>
          <w:lang w:val="en-US" w:eastAsia="zh-CN" w:bidi="ar-SA"/>
        </w:rPr>
        <w:t>来源：《新添商事调解组织 金华打造试点样板》</w:t>
      </w:r>
    </w:p>
    <w:p w14:paraId="39C4E8DB">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instrText xml:space="preserve"> HYPERLINK "http://www.pazjw.gov.cn/shehuizhili/202509/t20250926_31255215.shtml" </w:instrText>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b w:val="0"/>
          <w:bCs w:val="0"/>
          <w:i w:val="0"/>
          <w:iCs w:val="0"/>
          <w:caps w:val="0"/>
          <w:spacing w:val="0"/>
          <w:kern w:val="2"/>
          <w:sz w:val="28"/>
          <w:szCs w:val="28"/>
          <w:shd w:val="clear" w:fill="FFFFFF"/>
          <w:lang w:val="en-US" w:eastAsia="zh-CN" w:bidi="ar-SA"/>
        </w:rPr>
        <w:t>http://www.pazjw.gov.cn/shehuizhili/202509/t20250926_31255215.shtml</w:t>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end"/>
      </w:r>
    </w:p>
    <w:p w14:paraId="78785DB9">
      <w:pPr>
        <w:keepNext w:val="0"/>
        <w:keepLines w:val="0"/>
        <w:pageBreakBefore w:val="0"/>
        <w:widowControl w:val="0"/>
        <w:numPr>
          <w:ilvl w:val="0"/>
          <w:numId w:val="2"/>
        </w:numPr>
        <w:kinsoku/>
        <w:wordWrap/>
        <w:overflowPunct/>
        <w:topLinePunct w:val="0"/>
        <w:autoSpaceDE/>
        <w:autoSpaceDN/>
        <w:bidi w:val="0"/>
        <w:adjustRightInd/>
        <w:snapToGrid w:val="0"/>
        <w:ind w:left="0" w:leftChars="0"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多元共治，绘就湖州基层善治新图景</w:t>
      </w:r>
    </w:p>
    <w:p w14:paraId="01C6705B">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9月17日至18日，长三角8地市基层治理观摩队、中央驻浙媒体、长三角法治媒体记者组成调研团，深入湖州基层一线，探寻村社网格团队基层治理的鲜活事例，全方位了解湖州基层治理体系和治理能力现代化的创新实践。</w:t>
      </w:r>
    </w:p>
    <w:p w14:paraId="7FDAC1B3">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两天行程，5个站点，每处都展现出湖州基层治理的创新活力和实践成效。从城市到乡村，从本地居民到外来人口，从传统社区到生态保护区，湖州用一个个鲜活案例，坚持和发展新时代“枫桥经验”。</w:t>
      </w:r>
    </w:p>
    <w:p w14:paraId="24C6CE1B">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t>下一步，湖州将持续深化党建引领下的多元共治机制，推广这些基层治理的成功经验，进一步健全‘共建共治共享’的社会治理制度，推动治理资源更均衡、治理反应更灵敏、治理服务更温暖，努力打造更具辨识度和影响力的基层治理‘湖州模式’，为推进基层治理体系和治理能力现代化贡献更多湖州智慧。</w:t>
      </w:r>
    </w:p>
    <w:p w14:paraId="4C83B134">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val="0"/>
          <w:bCs w:val="0"/>
          <w:i w:val="0"/>
          <w:iCs w:val="0"/>
          <w:caps w:val="0"/>
          <w:color w:val="404040"/>
          <w:spacing w:val="0"/>
          <w:kern w:val="2"/>
          <w:sz w:val="28"/>
          <w:szCs w:val="28"/>
          <w:shd w:val="clear" w:fill="FFFFFF"/>
          <w:lang w:val="en-US" w:eastAsia="zh-CN" w:bidi="ar-SA"/>
        </w:rPr>
        <w:t>来源：《多元共治，绘就湖州基层善治新图景》</w:t>
      </w:r>
    </w:p>
    <w:p w14:paraId="31924CAD">
      <w:pPr>
        <w:keepNext w:val="0"/>
        <w:keepLines w:val="0"/>
        <w:pageBreakBefore w:val="0"/>
        <w:widowControl w:val="0"/>
        <w:numPr>
          <w:ilvl w:val="0"/>
          <w:numId w:val="0"/>
        </w:numPr>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instrText xml:space="preserve"> HYPERLINK "http://www.pazjw.gov.cn/shehuizhili/202509/t20250922_31244252.shtml" </w:instrText>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b w:val="0"/>
          <w:bCs w:val="0"/>
          <w:i w:val="0"/>
          <w:iCs w:val="0"/>
          <w:caps w:val="0"/>
          <w:spacing w:val="0"/>
          <w:kern w:val="2"/>
          <w:sz w:val="28"/>
          <w:szCs w:val="28"/>
          <w:shd w:val="clear" w:fill="FFFFFF"/>
          <w:lang w:val="en-US" w:eastAsia="zh-CN" w:bidi="ar-SA"/>
        </w:rPr>
        <w:t>http://www.pazjw.gov.cn/shehuizhili/202509/t20250922_31244252.shtml</w:t>
      </w:r>
      <w:r>
        <w:rPr>
          <w:rFonts w:hint="default" w:ascii="微软雅黑" w:hAnsi="微软雅黑" w:eastAsia="微软雅黑" w:cs="微软雅黑"/>
          <w:b w:val="0"/>
          <w:bCs w:val="0"/>
          <w:i w:val="0"/>
          <w:iCs w:val="0"/>
          <w:caps w:val="0"/>
          <w:color w:val="404040"/>
          <w:spacing w:val="0"/>
          <w:kern w:val="2"/>
          <w:sz w:val="28"/>
          <w:szCs w:val="28"/>
          <w:shd w:val="clear" w:fill="FFFFFF"/>
          <w:lang w:val="en-US" w:eastAsia="zh-CN" w:bidi="ar-SA"/>
        </w:rPr>
        <w:fldChar w:fldCharType="end"/>
      </w:r>
    </w:p>
    <w:p w14:paraId="14E1DC11">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三、典型案例：律师调解的实战智慧</w:t>
      </w:r>
    </w:p>
    <w:p w14:paraId="40F8AF51">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（一）跨域联动破僵局 —— 沪浙皖企业的 “一小时和解”</w:t>
      </w:r>
    </w:p>
    <w:p w14:paraId="130788D3">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案情：上海某信息公司与南京影视公司因长三角合拍项目利润分成争议诉至嘉兴南湖法院，涉三地交易规则差异。</w:t>
      </w:r>
    </w:p>
    <w:p w14:paraId="555459F7">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律师作用：驻长三角解纷工作站律师梳理三地《文化产业促进条例》，提出 “基础分成 + 业绩奖励” 阶梯方案，联合苏沪调解员开展云端合议，1 小时达成协议。</w:t>
      </w:r>
    </w:p>
    <w:p w14:paraId="146389C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成效：避免异地诉讼 3 个月周期，为企业节省维权成本 12 万元。</w:t>
      </w:r>
    </w:p>
    <w:p w14:paraId="07285A5F">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来源：《嘉兴南湖区法院：新时代“枫桥经验”绽繁花》</w:t>
      </w:r>
    </w:p>
    <w:p w14:paraId="46CFE018">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instrText xml:space="preserve"> HYPERLINK "https://www.pazjw.gov.cn/gongchuangpingan/bumenjingyan/202411/t20241122_30663755.shtml" </w:instrTex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i w:val="0"/>
          <w:iCs w:val="0"/>
          <w:caps w:val="0"/>
          <w:spacing w:val="0"/>
          <w:kern w:val="2"/>
          <w:sz w:val="28"/>
          <w:szCs w:val="28"/>
          <w:shd w:val="clear" w:fill="FFFFFF"/>
          <w:lang w:val="en-US" w:eastAsia="zh-CN" w:bidi="ar-SA"/>
        </w:rPr>
        <w:t>https://www.pazjw.gov.cn/gongchuangpingan/bumenjingyan/202411/t20241122_30663755.shtml</w: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end"/>
      </w:r>
    </w:p>
    <w:p w14:paraId="5FB34F0B">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（二）涉外调解融法理 ——“洋娘舅 + 律师” 的双重保障</w:t>
      </w:r>
    </w:p>
    <w:p w14:paraId="65D7493A">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案情：尼日利亚商人安东尼因货运代理费被义乌企业申请限制出境，涉 95 万元争议。</w:t>
      </w:r>
    </w:p>
    <w:p w14:paraId="75476674">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律师作用：涉外律师解读《涉外民事关系法律适用法》，协助 “洋娘舅” 设计分期赔付方案，修订合同风险条款，并出具英文版权利义务告知书。</w:t>
      </w:r>
    </w:p>
    <w:p w14:paraId="20D30730">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成效：达成 70 万元赔付协议，当事人避免出境限制，企业收回核心债权。</w:t>
      </w:r>
    </w:p>
    <w:p w14:paraId="795DA64A">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来源：人民网《身处外向型经济发展地，浙江义乌法院探索“专业指导+以外调外”机制，巧解涉外纠纷——义乌“洋娘舅”破圈获赞》</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fldChar w:fldCharType="begin"/>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instrText xml:space="preserve"> HYPERLINK "http://society.people.com.cn/n1/2024/0712/c1008-40276377.html" </w:instrTex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fldChar w:fldCharType="separate"/>
      </w:r>
      <w:r>
        <w:rPr>
          <w:rStyle w:val="9"/>
          <w:rFonts w:hint="eastAsia" w:ascii="微软雅黑" w:hAnsi="微软雅黑" w:eastAsia="微软雅黑" w:cs="微软雅黑"/>
          <w:i w:val="0"/>
          <w:iCs w:val="0"/>
          <w:caps w:val="0"/>
          <w:spacing w:val="0"/>
          <w:kern w:val="2"/>
          <w:sz w:val="28"/>
          <w:szCs w:val="28"/>
          <w:shd w:val="clear" w:fill="FFFFFF"/>
          <w:lang w:val="en-US" w:eastAsia="zh-CN" w:bidi="ar-SA"/>
        </w:rPr>
        <w:t>http://society.people.com.cn/n1/2024/0712/c1008-40276377.html</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fldChar w:fldCharType="end"/>
      </w:r>
    </w:p>
    <w:p w14:paraId="5F06BEB3">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（三）工业区里的新“枫”景</w:t>
      </w:r>
    </w:p>
    <w:p w14:paraId="5D479CB6">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案情：宁波市北仑区这片仅4.87平方公里的土地上，密集分布着1300余家中小企业和4万多名职工，其中90%是外来务工者，劳资纠纷较为多发。为此，社区从新时代“枫桥经验”中汲取智慧，结合工业社区实际，创新构建了一套名为“有商有量梯级调解体系”的分类治理模式，其精髓在于“分类治理、精准拆弹、警社联动”。当问题初露端倪，企业内部的调解志愿者会率先介入，尝试内部化解。若内部沟通不畅，则启动企业交叉咨询机制。</w:t>
      </w:r>
    </w:p>
    <w:p w14:paraId="21032EC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成效：调解中心将简单咨询转给企业人力资源志愿者队伍，复杂纠纷引入专业调解室，一旦涉及人身安全或风险升级，“警社联动”便会启动，社区民警成为防范风险、早期介入的关键力量。运行5年来，这套机制逐步显现效果。社区劳动仲裁案件量从年均190件降至132件，企业调解志愿者队伍扩大到212人。</w:t>
      </w:r>
    </w:p>
    <w:p w14:paraId="5A7B54FB">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来源：《工业区里的新“枫”景；“有商有量”分类治理破难题》</w:t>
      </w:r>
    </w:p>
    <w:p w14:paraId="29C0912E">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begin"/>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instrText xml:space="preserve"> HYPERLINK "http://www.pazjw.gov.cn/shehuizhili/202509/t20250930_31264541.shtml" </w:instrTex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separate"/>
      </w:r>
      <w:r>
        <w:rPr>
          <w:rStyle w:val="9"/>
          <w:rFonts w:hint="default" w:ascii="微软雅黑" w:hAnsi="微软雅黑" w:eastAsia="微软雅黑" w:cs="微软雅黑"/>
          <w:i w:val="0"/>
          <w:iCs w:val="0"/>
          <w:caps w:val="0"/>
          <w:spacing w:val="0"/>
          <w:kern w:val="2"/>
          <w:sz w:val="28"/>
          <w:szCs w:val="28"/>
          <w:shd w:val="clear" w:fill="FFFFFF"/>
          <w:lang w:val="en-US" w:eastAsia="zh-CN" w:bidi="ar-SA"/>
        </w:rPr>
        <w:t>http://www.pazjw.gov.cn/shehuizhili/202509/t20250930_31264541.shtml</w:t>
      </w:r>
      <w:r>
        <w:rPr>
          <w:rFonts w:hint="default" w:ascii="微软雅黑" w:hAnsi="微软雅黑" w:eastAsia="微软雅黑" w:cs="微软雅黑"/>
          <w:i w:val="0"/>
          <w:iCs w:val="0"/>
          <w:caps w:val="0"/>
          <w:color w:val="404040"/>
          <w:spacing w:val="0"/>
          <w:kern w:val="2"/>
          <w:sz w:val="28"/>
          <w:szCs w:val="28"/>
          <w:shd w:val="clear" w:fill="FFFFFF"/>
          <w:lang w:val="en-US" w:eastAsia="zh-CN" w:bidi="ar-SA"/>
        </w:rPr>
        <w:fldChar w:fldCharType="end"/>
      </w:r>
    </w:p>
    <w:p w14:paraId="5FC0CC84">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i w:val="0"/>
          <w:iCs w:val="0"/>
          <w:caps w:val="0"/>
          <w:color w:val="404040"/>
          <w:spacing w:val="0"/>
          <w:kern w:val="2"/>
          <w:sz w:val="28"/>
          <w:szCs w:val="28"/>
          <w:shd w:val="clear" w:fill="FFFFFF"/>
          <w:lang w:val="en-US" w:eastAsia="zh-CN" w:bidi="ar-SA"/>
        </w:rPr>
      </w:pPr>
    </w:p>
    <w:p w14:paraId="1B1198B1">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四、结语</w:t>
      </w:r>
    </w:p>
    <w:p w14:paraId="01F1A998">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微软雅黑" w:hAnsi="微软雅黑" w:eastAsia="微软雅黑" w:cs="微软雅黑"/>
          <w:i w:val="0"/>
          <w:iCs w:val="0"/>
          <w:caps w:val="0"/>
          <w:color w:val="404040"/>
          <w:spacing w:val="0"/>
          <w:kern w:val="2"/>
          <w:sz w:val="28"/>
          <w:szCs w:val="28"/>
          <w:shd w:val="clear" w:fill="FFFFFF"/>
          <w:lang w:val="en-US" w:eastAsia="zh-CN" w:bidi="ar-SA"/>
        </w:rPr>
      </w:pP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2025年9月，浙江律师调解以“</w:t>
      </w: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专业赋能+多元联动</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”为核心，交出了一份“实效突出、特色鲜明”的答卷，未来，也仍需重点强化三大方向：一是扩大“</w:t>
      </w:r>
      <w:r>
        <w:rPr>
          <w:rFonts w:hint="eastAsia" w:ascii="微软雅黑" w:hAnsi="微软雅黑" w:eastAsia="微软雅黑" w:cs="微软雅黑"/>
          <w:b/>
          <w:bCs/>
          <w:i w:val="0"/>
          <w:iCs w:val="0"/>
          <w:caps w:val="0"/>
          <w:color w:val="404040"/>
          <w:spacing w:val="0"/>
          <w:kern w:val="2"/>
          <w:sz w:val="28"/>
          <w:szCs w:val="28"/>
          <w:shd w:val="clear" w:fill="FFFFFF"/>
          <w:lang w:val="en-US" w:eastAsia="zh-CN" w:bidi="ar-SA"/>
        </w:rPr>
        <w:t>法院+综治中心+律师</w:t>
      </w:r>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联动机制覆盖面，推动在县域全面落地；二是深化数字平台应用，开发“类案智能推荐”“调解方案生成”等功能，提升律师调解智能化水平；三是建立跨区域律师调解协作机制，针对长三角一体化中的跨域纠纷，打造“跨省联调”品牌。让律师调解在法治浙江、平安浙江建设中发挥更坚实</w:t>
      </w:r>
      <w:bookmarkStart w:id="0" w:name="_GoBack"/>
      <w:bookmarkEnd w:id="0"/>
      <w:r>
        <w:rPr>
          <w:rFonts w:hint="eastAsia" w:ascii="微软雅黑" w:hAnsi="微软雅黑" w:eastAsia="微软雅黑" w:cs="微软雅黑"/>
          <w:i w:val="0"/>
          <w:iCs w:val="0"/>
          <w:caps w:val="0"/>
          <w:color w:val="404040"/>
          <w:spacing w:val="0"/>
          <w:kern w:val="2"/>
          <w:sz w:val="28"/>
          <w:szCs w:val="28"/>
          <w:shd w:val="clear" w:fill="FFFFFF"/>
          <w:lang w:val="en-US" w:eastAsia="zh-CN" w:bidi="ar-SA"/>
        </w:rPr>
        <w:t>的“第一道防线”作用。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29EF7"/>
    <w:multiLevelType w:val="singleLevel"/>
    <w:tmpl w:val="1C429EF7"/>
    <w:lvl w:ilvl="0" w:tentative="0">
      <w:start w:val="1"/>
      <w:numFmt w:val="chineseCounting"/>
      <w:suff w:val="nothing"/>
      <w:lvlText w:val="%1、"/>
      <w:lvlJc w:val="left"/>
      <w:rPr>
        <w:rFonts w:hint="eastAsia"/>
      </w:rPr>
    </w:lvl>
  </w:abstractNum>
  <w:abstractNum w:abstractNumId="1">
    <w:nsid w:val="7AFEDBB6"/>
    <w:multiLevelType w:val="singleLevel"/>
    <w:tmpl w:val="7AFEDB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D6418"/>
    <w:rsid w:val="1D2821E4"/>
    <w:rsid w:val="56B12305"/>
    <w:rsid w:val="5B937258"/>
    <w:rsid w:val="5B9E0ECC"/>
    <w:rsid w:val="5FB9B52C"/>
    <w:rsid w:val="63FD6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3812</Words>
  <Characters>4645</Characters>
  <Lines>0</Lines>
  <Paragraphs>0</Paragraphs>
  <TotalTime>12</TotalTime>
  <ScaleCrop>false</ScaleCrop>
  <LinksUpToDate>false</LinksUpToDate>
  <CharactersWithSpaces>4674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2025-09-15T11:04:00Z</dcterms:created>
  <dc:creator>hyy</dc:creator>
  <cp:lastModifiedBy>Timor</cp:lastModifiedBy>
  <dcterms:modified xsi:type="dcterms:W3CDTF">2025-10-11T08:02:07Z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B60D44CF1C3F472B918C30F08D7EF224_13</vt:lpwstr>
  </property>
  <property fmtid="{D5CDD505-2E9C-101B-9397-08002B2CF9AE}" pid="4" name="KSOTemplateDocerSaveRecord">
    <vt:lpwstr>eyJoZGlkIjoiYzIxMzVkOWQ4NTllZDE3NjM2YTAwOWI0OGQ5OWM0YzEiLCJ1c2VySWQiOiI0MzQ4MzQ0MDAifQ==</vt:lpwstr>
  </property>
</Properties>
</file>