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D02A7">
      <w:pPr>
        <w:spacing w:before="120" w:after="120" w:line="288" w:lineRule="auto"/>
        <w:ind w:left="0"/>
        <w:jc w:val="center"/>
        <w:rPr>
          <w:sz w:val="44"/>
          <w:szCs w:val="44"/>
        </w:rPr>
      </w:pPr>
      <w:r>
        <w:rPr>
          <w:rFonts w:ascii="Arial" w:hAnsi="Arial" w:eastAsia="等线" w:cs="Arial"/>
          <w:b/>
          <w:sz w:val="44"/>
          <w:szCs w:val="44"/>
        </w:rPr>
        <w:t>数字经济法律服务月刊 202</w:t>
      </w:r>
      <w:r>
        <w:rPr>
          <w:rFonts w:hint="eastAsia" w:ascii="Arial" w:hAnsi="Arial" w:eastAsia="等线" w:cs="Arial"/>
          <w:b/>
          <w:sz w:val="44"/>
          <w:szCs w:val="44"/>
          <w:lang w:val="en-US" w:eastAsia="zh-CN"/>
        </w:rPr>
        <w:t>5</w:t>
      </w:r>
      <w:r>
        <w:rPr>
          <w:rFonts w:ascii="Arial" w:hAnsi="Arial" w:eastAsia="等线" w:cs="Arial"/>
          <w:b/>
          <w:sz w:val="44"/>
          <w:szCs w:val="44"/>
        </w:rPr>
        <w:t>年</w:t>
      </w:r>
      <w:r>
        <w:rPr>
          <w:rFonts w:hint="eastAsia" w:ascii="Arial" w:hAnsi="Arial" w:eastAsia="等线" w:cs="Arial"/>
          <w:b/>
          <w:sz w:val="44"/>
          <w:szCs w:val="44"/>
          <w:lang w:val="en-US" w:eastAsia="zh-CN"/>
        </w:rPr>
        <w:t>5</w:t>
      </w:r>
      <w:r>
        <w:rPr>
          <w:rFonts w:ascii="Arial" w:hAnsi="Arial" w:eastAsia="等线" w:cs="Arial"/>
          <w:b/>
          <w:sz w:val="44"/>
          <w:szCs w:val="44"/>
        </w:rPr>
        <w:t>月刊</w:t>
      </w:r>
    </w:p>
    <w:p w14:paraId="11809878">
      <w:pPr>
        <w:spacing w:before="120" w:after="120" w:line="288" w:lineRule="auto"/>
        <w:ind w:left="0"/>
        <w:jc w:val="center"/>
      </w:pPr>
      <w:r>
        <w:rPr>
          <w:rFonts w:ascii="Arial" w:hAnsi="Arial" w:eastAsia="等线" w:cs="Arial"/>
          <w:b/>
          <w:sz w:val="22"/>
        </w:rPr>
        <w:t xml:space="preserve"> </w:t>
      </w:r>
    </w:p>
    <w:p w14:paraId="398ADD51">
      <w:pPr>
        <w:spacing w:before="120" w:after="120" w:line="288" w:lineRule="auto"/>
        <w:ind w:left="0"/>
        <w:jc w:val="center"/>
        <w:rPr>
          <w:rFonts w:ascii="Arial" w:hAnsi="Arial" w:eastAsia="等线" w:cs="Arial"/>
          <w:b/>
          <w:sz w:val="22"/>
        </w:rPr>
      </w:pPr>
    </w:p>
    <w:p w14:paraId="06229485">
      <w:pPr>
        <w:spacing w:before="120" w:after="120" w:line="288" w:lineRule="auto"/>
        <w:ind w:left="0"/>
        <w:jc w:val="center"/>
      </w:pPr>
      <w:r>
        <w:rPr>
          <w:rFonts w:ascii="Arial" w:hAnsi="Arial" w:eastAsia="等线" w:cs="Arial"/>
          <w:b/>
          <w:sz w:val="22"/>
        </w:rPr>
        <w:t>【立法前沿】</w:t>
      </w:r>
    </w:p>
    <w:p w14:paraId="26D03F98">
      <w:pPr>
        <w:spacing w:before="120" w:after="120" w:line="288" w:lineRule="auto"/>
        <w:ind w:left="0"/>
        <w:jc w:val="left"/>
        <w:rPr>
          <w:rFonts w:hint="eastAsia" w:ascii="Arial" w:hAnsi="Arial" w:eastAsia="等线" w:cs="Arial"/>
          <w:color w:val="3370FF"/>
          <w:sz w:val="22"/>
          <w:u w:val="single"/>
        </w:rPr>
      </w:pPr>
    </w:p>
    <w:p w14:paraId="560F5B9C">
      <w:pPr>
        <w:spacing w:before="120" w:after="120" w:line="288" w:lineRule="auto"/>
        <w:ind w:left="0"/>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《个人信息保护合规审计管理办法》正式施行</w:t>
      </w:r>
    </w:p>
    <w:p w14:paraId="1CCE2D0D">
      <w:pPr>
        <w:spacing w:before="120" w:after="120" w:line="288" w:lineRule="auto"/>
        <w:ind w:left="0"/>
        <w:jc w:val="left"/>
        <w:rPr>
          <w:rFonts w:hint="eastAsia" w:ascii="Arial" w:hAnsi="Arial" w:eastAsia="等线" w:cs="Arial"/>
          <w:b/>
          <w:color w:val="245BDB"/>
          <w:sz w:val="22"/>
          <w:lang w:val="en-US" w:eastAsia="zh-CN"/>
        </w:rPr>
      </w:pPr>
    </w:p>
    <w:p w14:paraId="224D054D">
      <w:pPr>
        <w:widowControl w:val="0"/>
        <w:spacing w:before="120" w:after="120" w:line="288" w:lineRule="auto"/>
        <w:ind w:firstLine="440" w:firstLineChars="200"/>
        <w:jc w:val="left"/>
        <w:rPr>
          <w:rFonts w:ascii="Arial" w:hAnsi="Arial" w:eastAsia="等线" w:cs="Arial"/>
          <w:sz w:val="22"/>
          <w:szCs w:val="22"/>
        </w:rPr>
      </w:pPr>
      <w:r>
        <w:rPr>
          <w:rFonts w:ascii="Arial" w:hAnsi="Arial" w:eastAsia="等线" w:cs="Arial"/>
          <w:sz w:val="22"/>
          <w:szCs w:val="22"/>
        </w:rPr>
        <w:t>国家互联网信息办公室颁布</w:t>
      </w:r>
      <w:r>
        <w:rPr>
          <w:rFonts w:hint="eastAsia" w:ascii="Arial" w:hAnsi="Arial" w:eastAsia="等线" w:cs="Arial"/>
          <w:sz w:val="22"/>
          <w:szCs w:val="22"/>
          <w:lang w:val="en-US" w:eastAsia="zh-CN"/>
        </w:rPr>
        <w:t>的</w:t>
      </w:r>
      <w:r>
        <w:rPr>
          <w:rFonts w:ascii="Arial" w:hAnsi="Arial" w:eastAsia="等线" w:cs="Arial"/>
          <w:sz w:val="22"/>
          <w:szCs w:val="22"/>
        </w:rPr>
        <w:t>《个人信息保护合规审计管理办法》</w:t>
      </w:r>
      <w:r>
        <w:rPr>
          <w:rFonts w:hint="eastAsia" w:ascii="Arial" w:hAnsi="Arial" w:eastAsia="等线" w:cs="Arial"/>
          <w:sz w:val="22"/>
          <w:szCs w:val="22"/>
          <w:lang w:val="en-US" w:eastAsia="zh-CN"/>
        </w:rPr>
        <w:t>于2025年5月1日起施行</w:t>
      </w:r>
      <w:r>
        <w:rPr>
          <w:rFonts w:ascii="Arial" w:hAnsi="Arial" w:eastAsia="等线" w:cs="Arial"/>
          <w:sz w:val="22"/>
          <w:szCs w:val="22"/>
        </w:rPr>
        <w:t>。该《办法》对合规审计的执行、审计机构的选择、审计频率以及相关责任进行了详尽的规定，目的是提供明确且具备操作性的规范，确保个人信息处理活动的合法性与合规性，保障个人信息权益不受侵害。《办法》明确指出，个人信息处理者有义务定期开展合规审计，特别是对于处理超过</w:t>
      </w:r>
      <w:r>
        <w:rPr>
          <w:rFonts w:hint="eastAsia" w:ascii="Arial" w:hAnsi="Arial" w:eastAsia="等线" w:cs="Arial"/>
          <w:sz w:val="22"/>
          <w:szCs w:val="22"/>
          <w:lang w:val="en-US" w:eastAsia="zh-CN"/>
        </w:rPr>
        <w:t>1000</w:t>
      </w:r>
      <w:r>
        <w:rPr>
          <w:rFonts w:ascii="Arial" w:hAnsi="Arial" w:eastAsia="等线" w:cs="Arial"/>
          <w:sz w:val="22"/>
          <w:szCs w:val="22"/>
        </w:rPr>
        <w:t>万人信息的处理者，必须至少每两年进行一次审计。在面临较高风险或发生个人信息安全事件的情况下，相关部门有权要求进行紧急审计。个人信息处理者在合规审计过程中，应提供必要的协助、承担相关费用、确保按时完成审计工作，并及时提交审计报告及整改方案。专业审计机构在执行合规审计任务时，应具备相应的专业能力，恪守法律法规，保持诚信和客观性，对所获知的信息负有保密义务，并且不得连续三次以上对同一实体进行审计。《办法》还附带了《个人信息保护合规审计指引》，该指引对相关法律要点进行了梳理，并从审计的角度进行了细化。此外，《办法》还明确了履行个人信息保护职责的部门在监督管理方面的责任，以及个人信息处理者和专业审计机构违反规定时应承担的法律责任。</w:t>
      </w:r>
    </w:p>
    <w:p w14:paraId="098810D1">
      <w:pPr>
        <w:widowControl w:val="0"/>
        <w:spacing w:before="120" w:after="120" w:line="288" w:lineRule="auto"/>
        <w:ind w:firstLine="440" w:firstLineChars="200"/>
        <w:jc w:val="left"/>
        <w:rPr>
          <w:rFonts w:hint="eastAsia" w:ascii="Arial" w:hAnsi="Arial" w:eastAsia="等线" w:cs="Arial"/>
          <w:sz w:val="22"/>
          <w:szCs w:val="22"/>
          <w:lang w:val="en-US" w:eastAsia="zh-CN"/>
        </w:rPr>
      </w:pPr>
    </w:p>
    <w:p w14:paraId="09238E2F">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中央网络安全和信息化委员会办公室 中华人民共和国国家互联网信息办公室</w:t>
      </w:r>
    </w:p>
    <w:p w14:paraId="575C6B86">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"https://www.cac.gov.cn/2025-02/14/c_1741233507681519.htm"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https://www.cac.gov.cn/2025-02/14/c_1741233507681519.htm</w:t>
      </w:r>
      <w:r>
        <w:rPr>
          <w:rFonts w:hint="eastAsia" w:ascii="Arial" w:hAnsi="Arial" w:eastAsia="等线" w:cs="Arial"/>
          <w:color w:val="3370FF"/>
          <w:sz w:val="22"/>
          <w:u w:val="single"/>
        </w:rPr>
        <w:fldChar w:fldCharType="end"/>
      </w:r>
    </w:p>
    <w:p w14:paraId="2B275B9B">
      <w:pPr>
        <w:spacing w:before="120" w:after="120" w:line="288" w:lineRule="auto"/>
        <w:ind w:left="0"/>
        <w:jc w:val="left"/>
        <w:rPr>
          <w:rFonts w:hint="eastAsia" w:ascii="Arial" w:hAnsi="Arial" w:eastAsia="等线" w:cs="Arial"/>
          <w:color w:val="3370FF"/>
          <w:sz w:val="22"/>
          <w:u w:val="single"/>
        </w:rPr>
      </w:pPr>
    </w:p>
    <w:p w14:paraId="361B37CC">
      <w:pPr>
        <w:spacing w:before="120" w:after="120" w:line="288" w:lineRule="auto"/>
        <w:ind w:left="0"/>
        <w:jc w:val="left"/>
        <w:rPr>
          <w:rFonts w:hint="default"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国务院颁布 《政务数据共享条例》</w:t>
      </w:r>
    </w:p>
    <w:p w14:paraId="4EA0DC17">
      <w:pPr>
        <w:spacing w:before="120" w:after="120" w:line="288" w:lineRule="auto"/>
        <w:ind w:left="0"/>
        <w:jc w:val="left"/>
        <w:rPr>
          <w:rFonts w:hint="eastAsia" w:ascii="Arial" w:hAnsi="Arial" w:eastAsia="等线" w:cs="Arial"/>
          <w:b/>
          <w:color w:val="245BDB"/>
          <w:sz w:val="22"/>
          <w:lang w:val="en-US" w:eastAsia="zh-CN"/>
        </w:rPr>
      </w:pPr>
    </w:p>
    <w:p w14:paraId="37B50C60">
      <w:pPr>
        <w:spacing w:before="120" w:after="120" w:line="288" w:lineRule="auto"/>
        <w:ind w:left="0" w:firstLine="440" w:firstLineChars="200"/>
        <w:jc w:val="left"/>
        <w:rPr>
          <w:rFonts w:hint="eastAsia" w:ascii="Arial" w:hAnsi="Arial" w:eastAsia="等线" w:cs="Arial"/>
          <w:sz w:val="22"/>
          <w:highlight w:val="none"/>
          <w:lang w:val="en-US" w:eastAsia="zh-CN"/>
        </w:rPr>
      </w:pPr>
      <w:r>
        <w:rPr>
          <w:rFonts w:hint="eastAsia" w:ascii="Arial" w:hAnsi="Arial" w:eastAsia="等线" w:cs="Arial"/>
          <w:sz w:val="22"/>
          <w:highlight w:val="none"/>
          <w:lang w:val="en-US" w:eastAsia="zh-CN"/>
        </w:rPr>
        <w:t>2025年5月28日，国务院颁布《政务数据共享条例》，《条例》明确了政务数据的定义及共享原则，规定了政务数据共享的主体是政府部门之间，涵盖了共享工作中的安全、监督、管理等方面。同时，强调了在共享政务数据过程中必须坚持党的领导，贯彻总体国家安全观，遵循一定的原则并保障数据安全和个人信息安全。《条例》还建立了政务数据共享的管理体制，确立了各级人民政府对政务数据共享工作的组织领导架构，并设立了专门的政务数据共享主管部门，负责统筹推进全国或本地区的政务数据共享工作。此外，还制定了政务数据共享的标准体系，鼓励管理、机制和技术的创新，以提升数据共享的效率和安全性。在政务数据共享的具体操作方面，《条例》详细规定了政务数据目录的编制、共享属性的划分、共享流程、使用条件及安全管理制度等内容，确保政务数据的准确、完整和安全。对于违反条例的行为，设定了相应的法律责任和处罚措施。</w:t>
      </w:r>
    </w:p>
    <w:p w14:paraId="7008D238">
      <w:pPr>
        <w:spacing w:before="120" w:after="120" w:line="288" w:lineRule="auto"/>
        <w:ind w:left="0"/>
        <w:jc w:val="left"/>
        <w:rPr>
          <w:rFonts w:hint="eastAsia" w:ascii="Arial" w:hAnsi="Arial" w:eastAsia="等线" w:cs="Arial"/>
          <w:b/>
          <w:sz w:val="22"/>
        </w:rPr>
      </w:pPr>
    </w:p>
    <w:p w14:paraId="05E7CE21">
      <w:pPr>
        <w:spacing w:before="120" w:after="120" w:line="288" w:lineRule="auto"/>
        <w:ind w:left="0"/>
        <w:jc w:val="left"/>
        <w:rPr>
          <w:rFonts w:hint="eastAsia"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中国政府网</w:t>
      </w:r>
    </w:p>
    <w:p w14:paraId="5C3FDDC1">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"https://www.gov.cn/zhengce/zhengceku/202506/content_7026295.htm"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https://www.gov.cn/zhengce/zhengceku/202506/content_7026295.htm</w:t>
      </w:r>
      <w:r>
        <w:rPr>
          <w:rFonts w:hint="eastAsia" w:ascii="Arial" w:hAnsi="Arial" w:eastAsia="等线" w:cs="Arial"/>
          <w:color w:val="3370FF"/>
          <w:sz w:val="22"/>
          <w:u w:val="single"/>
        </w:rPr>
        <w:fldChar w:fldCharType="end"/>
      </w:r>
    </w:p>
    <w:p w14:paraId="75CC0868">
      <w:pPr>
        <w:spacing w:before="120" w:after="120" w:line="288" w:lineRule="auto"/>
        <w:ind w:left="0"/>
        <w:jc w:val="left"/>
        <w:rPr>
          <w:rFonts w:hint="eastAsia" w:ascii="Arial" w:hAnsi="Arial" w:eastAsia="等线" w:cs="Arial"/>
          <w:color w:val="3370FF"/>
          <w:sz w:val="22"/>
          <w:u w:val="single"/>
        </w:rPr>
      </w:pPr>
    </w:p>
    <w:p w14:paraId="5B5BD6FD">
      <w:pPr>
        <w:spacing w:before="120" w:after="120" w:line="288" w:lineRule="auto"/>
        <w:ind w:left="0"/>
        <w:jc w:val="left"/>
        <w:rPr>
          <w:rFonts w:hint="default"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《中国人民银行业务领域数据安全管理办法》发布</w:t>
      </w:r>
    </w:p>
    <w:p w14:paraId="1AC268E5">
      <w:pPr>
        <w:spacing w:before="120" w:after="120" w:line="288" w:lineRule="auto"/>
        <w:ind w:left="0"/>
        <w:jc w:val="left"/>
        <w:rPr>
          <w:rFonts w:hint="eastAsia" w:ascii="Arial" w:hAnsi="Arial" w:eastAsia="等线" w:cs="Arial"/>
          <w:color w:val="3370FF"/>
          <w:sz w:val="22"/>
          <w:highlight w:val="yellow"/>
          <w:u w:val="single"/>
          <w:lang w:val="en-US" w:eastAsia="zh-CN"/>
        </w:rPr>
      </w:pPr>
    </w:p>
    <w:p w14:paraId="21AC7244">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2025年5月1日，中国人民银行正式颁布了《中国人民银行业务领域数据安全管理办法》。</w:t>
      </w:r>
      <w:r>
        <w:rPr>
          <w:rFonts w:hint="eastAsia" w:ascii="Arial" w:hAnsi="Arial" w:eastAsia="等线" w:cs="Arial"/>
          <w:sz w:val="22"/>
          <w:szCs w:val="22"/>
          <w:highlight w:val="none"/>
          <w:lang w:val="en-US" w:eastAsia="zh-CN"/>
        </w:rPr>
        <w:fldChar w:fldCharType="begin"/>
      </w:r>
      <w:r>
        <w:rPr>
          <w:rFonts w:hint="eastAsia" w:ascii="Arial" w:hAnsi="Arial" w:eastAsia="等线" w:cs="Arial"/>
          <w:sz w:val="22"/>
          <w:szCs w:val="22"/>
          <w:highlight w:val="none"/>
          <w:lang w:val="en-US" w:eastAsia="zh-CN"/>
        </w:rPr>
        <w:instrText xml:space="preserve"> HYPERLINK "https://finance.sina.com.cn/roll/2025-06-13/doc-inezxhxa0397128.shtml" \t "https://cn.bing.com/_blank" </w:instrText>
      </w:r>
      <w:r>
        <w:rPr>
          <w:rFonts w:hint="eastAsia" w:ascii="Arial" w:hAnsi="Arial" w:eastAsia="等线" w:cs="Arial"/>
          <w:sz w:val="22"/>
          <w:szCs w:val="22"/>
          <w:highlight w:val="none"/>
          <w:lang w:val="en-US" w:eastAsia="zh-CN"/>
        </w:rPr>
        <w:fldChar w:fldCharType="separate"/>
      </w:r>
      <w:r>
        <w:rPr>
          <w:rFonts w:hint="eastAsia" w:ascii="Arial" w:hAnsi="Arial" w:eastAsia="等线" w:cs="Arial"/>
          <w:sz w:val="22"/>
          <w:szCs w:val="22"/>
          <w:highlight w:val="none"/>
          <w:lang w:val="en-US" w:eastAsia="zh-CN"/>
        </w:rPr>
        <w:t>《办法》旨在规范中国人民银行业务领域的数据安全管理，促进金融行业合规开展数据处理活动，涵盖货币信贷、跨境人民币等多个领域的相关数据处理。《办法》共七章五十六条，</w:t>
      </w:r>
      <w:r>
        <w:rPr>
          <w:rFonts w:hint="eastAsia" w:ascii="Arial" w:hAnsi="Arial" w:eastAsia="等线" w:cs="Arial"/>
          <w:sz w:val="22"/>
          <w:szCs w:val="22"/>
          <w:highlight w:val="none"/>
          <w:lang w:val="en-US" w:eastAsia="zh-CN"/>
        </w:rPr>
        <w:fldChar w:fldCharType="end"/>
      </w:r>
      <w:r>
        <w:rPr>
          <w:rFonts w:hint="eastAsia" w:ascii="Arial" w:hAnsi="Arial" w:eastAsia="等线" w:cs="Arial"/>
          <w:sz w:val="22"/>
          <w:szCs w:val="22"/>
          <w:highlight w:val="none"/>
          <w:lang w:val="en-US" w:eastAsia="zh-CN"/>
        </w:rPr>
        <w:t>在业务数据的分类分级与总体要求、业务数据安全管理的全流程要求、业务数据安全技术的全流程要求、业务数据安全风险与事件管理以及法律责任等多个方面进行了详细的规定。此举旨在强化数据安全的法治基础，并为金融机构在数据处理方面提供依法依规的指导。</w:t>
      </w:r>
    </w:p>
    <w:p w14:paraId="548C8BD8">
      <w:pPr>
        <w:spacing w:before="120" w:after="120" w:line="288" w:lineRule="auto"/>
        <w:ind w:left="0"/>
        <w:jc w:val="left"/>
        <w:rPr>
          <w:rFonts w:hint="eastAsia" w:ascii="Arial" w:hAnsi="Arial" w:eastAsia="等线" w:cs="Arial"/>
          <w:sz w:val="22"/>
          <w:lang w:val="en-US" w:eastAsia="zh-CN"/>
        </w:rPr>
      </w:pPr>
    </w:p>
    <w:p w14:paraId="522D82E4">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sz w:val="22"/>
        </w:rPr>
        <w:t>来源：</w:t>
      </w:r>
      <w:r>
        <w:rPr>
          <w:rFonts w:hint="eastAsia" w:ascii="Arial" w:hAnsi="Arial" w:eastAsia="等线" w:cs="Arial"/>
          <w:b w:val="0"/>
          <w:bCs/>
          <w:sz w:val="22"/>
          <w:lang w:val="en-US" w:eastAsia="zh-CN"/>
        </w:rPr>
        <w:t>中国人民银行办公厅</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"http://www.pbc.gov.cn/tiaofasi/144941/144957/5702602/index.html"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http://www.pbc.gov.cn/tiaofasi/144941/144957/5702602/index.html</w:t>
      </w:r>
      <w:r>
        <w:rPr>
          <w:rFonts w:hint="eastAsia" w:ascii="Arial" w:hAnsi="Arial" w:eastAsia="等线" w:cs="Arial"/>
          <w:color w:val="3370FF"/>
          <w:sz w:val="22"/>
          <w:u w:val="single"/>
        </w:rPr>
        <w:fldChar w:fldCharType="end"/>
      </w:r>
    </w:p>
    <w:p w14:paraId="5562AA9B">
      <w:pPr>
        <w:spacing w:before="120" w:after="120" w:line="288" w:lineRule="auto"/>
        <w:ind w:left="0"/>
        <w:jc w:val="left"/>
        <w:rPr>
          <w:rFonts w:hint="eastAsia" w:ascii="Arial" w:hAnsi="Arial" w:eastAsia="等线" w:cs="Arial"/>
          <w:color w:val="3370FF"/>
          <w:sz w:val="22"/>
          <w:u w:val="single"/>
        </w:rPr>
      </w:pPr>
    </w:p>
    <w:p w14:paraId="47D7B73F">
      <w:pPr>
        <w:spacing w:before="120" w:after="120" w:line="288" w:lineRule="auto"/>
        <w:ind w:left="0"/>
        <w:jc w:val="left"/>
        <w:rPr>
          <w:rFonts w:hint="eastAsia" w:ascii="Arial" w:hAnsi="Arial" w:eastAsia="等线" w:cs="Arial"/>
          <w:color w:val="3370FF"/>
          <w:sz w:val="22"/>
          <w:u w:val="single"/>
        </w:rPr>
      </w:pPr>
    </w:p>
    <w:p w14:paraId="41D77E60">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default"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数据网络</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六部门联合发布《国家网络身份认证公共服务管理办法》</w:t>
      </w:r>
    </w:p>
    <w:p w14:paraId="300D61FC">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eastAsia" w:ascii="Arial" w:hAnsi="Arial" w:eastAsia="等线" w:cs="Arial"/>
          <w:b/>
          <w:color w:val="245BDB"/>
          <w:sz w:val="22"/>
          <w:lang w:val="en-US" w:eastAsia="zh-CN"/>
        </w:rPr>
      </w:pPr>
    </w:p>
    <w:p w14:paraId="72F74D4D">
      <w:pPr>
        <w:widowControl w:val="0"/>
        <w:spacing w:before="120" w:after="120" w:line="288" w:lineRule="auto"/>
        <w:ind w:left="0" w:firstLine="440" w:firstLineChars="200"/>
        <w:jc w:val="left"/>
        <w:rPr>
          <w:rFonts w:hint="default"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为了实施可信数字身份战略，推进国家网络身份认证公共服务建设，保护公民身份信息安全，支撑数字经济健康有序发展，中华人民共和国公安部、国家互联网信息办公室、中华人民共和国民政部、中华人民共和国文化和旅游部、国家卫生健康委员会以及国家广播电视总局等六部门于2025年5月19日联合发布《国家网络身份认证公共服务管理办法》。《管理办法》共16条，主要包括四个方面的内容：一是明确了国家网络身份认证公共服务及网号、网证的概念、申领方式；二是明确了使用国家网络身份认证公共服务的效力、应用场景；三是强调了国家网络身份认证公共服务平台、互联网平台等对数据安全、个人信息保护的责任；四是对未成年人申领、使用国家网络身份认证公共服务作出特殊规定。</w:t>
      </w:r>
    </w:p>
    <w:p w14:paraId="70EAC702">
      <w:pPr>
        <w:spacing w:before="120" w:after="120" w:line="288" w:lineRule="auto"/>
        <w:jc w:val="left"/>
        <w:rPr>
          <w:rFonts w:hint="eastAsia" w:ascii="Arial" w:hAnsi="Arial" w:eastAsia="等线" w:cs="Arial"/>
          <w:sz w:val="22"/>
          <w:lang w:val="en-US" w:eastAsia="zh-CN"/>
        </w:rPr>
      </w:pPr>
    </w:p>
    <w:p w14:paraId="6C0CCE58">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sz w:val="22"/>
          <w:lang w:val="en-US" w:eastAsia="zh-CN"/>
        </w:rPr>
        <w:t>中央网络安全和信息化委员会办公室 中华人民共和国国家互联网信息办公室</w:t>
      </w:r>
    </w:p>
    <w:p w14:paraId="0B7EDC87">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t>https://www.cac.gov.cn/2025-05/23/c_1749711107835487.htm</w:t>
      </w:r>
    </w:p>
    <w:p w14:paraId="05A20C7D">
      <w:pPr>
        <w:spacing w:before="120" w:after="120" w:line="288" w:lineRule="auto"/>
        <w:ind w:left="0"/>
        <w:jc w:val="left"/>
        <w:rPr>
          <w:rFonts w:hint="default"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《中国人民银行业务领域网络安全事件报告管理办法》发布</w:t>
      </w:r>
    </w:p>
    <w:p w14:paraId="4806BBAE">
      <w:pPr>
        <w:spacing w:before="120" w:after="120" w:line="288" w:lineRule="auto"/>
        <w:ind w:left="0"/>
        <w:jc w:val="left"/>
        <w:rPr>
          <w:rFonts w:hint="eastAsia" w:ascii="Arial" w:hAnsi="Arial" w:eastAsia="等线" w:cs="Arial"/>
          <w:color w:val="3370FF"/>
          <w:sz w:val="22"/>
          <w:highlight w:val="yellow"/>
          <w:u w:val="single"/>
          <w:lang w:val="en-US" w:eastAsia="zh-CN"/>
        </w:rPr>
      </w:pPr>
    </w:p>
    <w:p w14:paraId="0B3199D4">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2025年5月23日，中国人民银行正式颁布了《中国人民银行业务领域网络安全事件报告管理办法》。《办法》共五章三十三条：第一章明确《办法》制定依据、适用范围、向其他部门报告通报协作机制和社会监督机制；第二章对网络安全事件分级管理作出规定，明确特别重大、重大、较大、一般等级网络安全事件的分级标准底线规则；第三章对网络安全事件报告流程、内容、时效、途径等作出规定；第四章对中国人民银行或其分支机构监督和管理责任落实，以及金融从业机构违反规定行为的处罚作出规定；第五章对术语定义、解释权和施行日期作出规定。《办法》明确，由于人为原因、遭受网络攻击、存在漏洞隐患、软硬件缺陷或故障、不可抗力等因素，对金融从业机构建设、运营、维护、管理的中国人民银行业务领域网络或者处理的中国人民银行业务领域数据造成危害的事件，应当按照《办法》规定向中国人民银行或者住所地中国人民银行分支机构报告。非中国人民银行业务领域网络安全事件无须按照《办法》规定报告。涉及国家秘密的，按照有关规定执行。其中，中国人民银行业务领域是指由中国人民银行承担监督和管理职责的货币信贷、宏观审慎、跨境人民币、银行间市场、金融业综合统计、支付清算、人民币发行流通、经理国库、征信和信用评级、反洗钱等业务领域。</w:t>
      </w:r>
    </w:p>
    <w:p w14:paraId="5DB71A43">
      <w:pPr>
        <w:spacing w:before="120" w:after="120" w:line="288" w:lineRule="auto"/>
        <w:ind w:left="0"/>
        <w:jc w:val="left"/>
        <w:rPr>
          <w:rFonts w:hint="eastAsia" w:ascii="Arial" w:hAnsi="Arial" w:eastAsia="等线" w:cs="Arial"/>
          <w:sz w:val="22"/>
          <w:lang w:val="en-US" w:eastAsia="zh-CN"/>
        </w:rPr>
      </w:pPr>
    </w:p>
    <w:p w14:paraId="7A5C7603">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sz w:val="22"/>
        </w:rPr>
        <w:t>来源：</w:t>
      </w:r>
      <w:r>
        <w:rPr>
          <w:rFonts w:hint="eastAsia" w:ascii="Arial" w:hAnsi="Arial" w:eastAsia="等线" w:cs="Arial"/>
          <w:b w:val="0"/>
          <w:bCs/>
          <w:sz w:val="22"/>
          <w:lang w:val="en-US" w:eastAsia="zh-CN"/>
        </w:rPr>
        <w:t>中国人民银行办公厅</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"http://www.pbc.gov.cn/tiaofasi/144941/144957/5728831/index.html"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http://www.pbc.gov.cn/tiaofasi/144941/144957/5728831/index.html</w:t>
      </w:r>
      <w:r>
        <w:rPr>
          <w:rFonts w:hint="eastAsia" w:ascii="Arial" w:hAnsi="Arial" w:eastAsia="等线" w:cs="Arial"/>
          <w:color w:val="3370FF"/>
          <w:sz w:val="22"/>
          <w:u w:val="single"/>
        </w:rPr>
        <w:fldChar w:fldCharType="end"/>
      </w:r>
    </w:p>
    <w:p w14:paraId="624ABE4F">
      <w:pPr>
        <w:spacing w:before="120" w:after="120" w:line="288" w:lineRule="auto"/>
        <w:ind w:left="0"/>
        <w:jc w:val="left"/>
        <w:rPr>
          <w:rFonts w:hint="eastAsia" w:ascii="Arial" w:hAnsi="Arial" w:eastAsia="等线" w:cs="Arial"/>
          <w:color w:val="3370FF"/>
          <w:sz w:val="22"/>
          <w:u w:val="single"/>
        </w:rPr>
      </w:pPr>
    </w:p>
    <w:p w14:paraId="07F08300">
      <w:pPr>
        <w:spacing w:before="120" w:after="120" w:line="288" w:lineRule="auto"/>
        <w:ind w:left="0"/>
        <w:jc w:val="center"/>
      </w:pPr>
      <w:r>
        <w:rPr>
          <w:rFonts w:ascii="Arial" w:hAnsi="Arial" w:eastAsia="等线" w:cs="Arial"/>
          <w:b/>
          <w:sz w:val="22"/>
        </w:rPr>
        <w:t>【审判观点】</w:t>
      </w:r>
    </w:p>
    <w:p w14:paraId="3F2674F3">
      <w:pPr>
        <w:spacing w:before="120" w:after="120" w:line="288" w:lineRule="auto"/>
        <w:ind w:left="0"/>
        <w:jc w:val="left"/>
      </w:pPr>
    </w:p>
    <w:p w14:paraId="1F5EC55A">
      <w:pPr>
        <w:spacing w:before="120" w:after="120" w:line="288" w:lineRule="auto"/>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数字经济</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 xml:space="preserve"> 广州互联网法院发布跨境电商典型案例</w:t>
      </w:r>
    </w:p>
    <w:p w14:paraId="594CF1E7">
      <w:pPr>
        <w:spacing w:before="120" w:after="120" w:line="288" w:lineRule="auto"/>
        <w:jc w:val="left"/>
        <w:rPr>
          <w:rFonts w:hint="eastAsia" w:ascii="Arial" w:hAnsi="Arial" w:eastAsia="等线" w:cs="Arial"/>
          <w:sz w:val="22"/>
          <w:lang w:val="en-US" w:eastAsia="zh-CN"/>
        </w:rPr>
      </w:pPr>
    </w:p>
    <w:p w14:paraId="20AAD59F">
      <w:pPr>
        <w:spacing w:before="120" w:after="120" w:line="288" w:lineRule="auto"/>
        <w:ind w:firstLine="440" w:firstLineChars="200"/>
        <w:jc w:val="left"/>
        <w:rPr>
          <w:rFonts w:ascii="Arial" w:hAnsi="Arial" w:eastAsia="等线" w:cs="Arial"/>
          <w:sz w:val="22"/>
          <w:szCs w:val="22"/>
          <w:highlight w:val="none"/>
          <w:lang w:val="en-US" w:eastAsia="zh-CN"/>
        </w:rPr>
      </w:pPr>
      <w:r>
        <w:rPr>
          <w:rFonts w:ascii="Arial" w:hAnsi="Arial" w:eastAsia="等线" w:cs="Arial"/>
          <w:sz w:val="22"/>
          <w:szCs w:val="22"/>
          <w:highlight w:val="none"/>
          <w:lang w:val="en-US" w:eastAsia="zh-CN"/>
        </w:rPr>
        <w:t>案例一：跨境电商恶意投诉行为的司法规制——</w:t>
      </w:r>
      <w:r>
        <w:rPr>
          <w:rFonts w:hint="eastAsia" w:ascii="Arial" w:hAnsi="Arial" w:eastAsia="等线" w:cs="Arial"/>
          <w:sz w:val="22"/>
          <w:szCs w:val="22"/>
          <w:highlight w:val="none"/>
          <w:lang w:val="en-US" w:eastAsia="zh-CN"/>
        </w:rPr>
        <w:t>巧某公司诉品某公司、迅某公司不正当竞争纠纷案</w:t>
      </w:r>
    </w:p>
    <w:p w14:paraId="52892B99">
      <w:pPr>
        <w:spacing w:before="120" w:after="120" w:line="288" w:lineRule="auto"/>
        <w:ind w:firstLine="440" w:firstLineChars="200"/>
        <w:jc w:val="left"/>
        <w:rPr>
          <w:rFonts w:hint="eastAsia" w:ascii="Arial" w:hAnsi="Arial" w:eastAsia="等线" w:cs="Arial"/>
          <w:sz w:val="22"/>
          <w:szCs w:val="22"/>
          <w:highlight w:val="none"/>
        </w:rPr>
      </w:pPr>
      <w:r>
        <w:rPr>
          <w:rFonts w:ascii="Arial" w:hAnsi="Arial" w:eastAsia="等线" w:cs="Arial"/>
          <w:sz w:val="22"/>
          <w:szCs w:val="22"/>
          <w:highlight w:val="none"/>
          <w:lang w:val="en-US" w:eastAsia="zh-CN"/>
        </w:rPr>
        <w:t>裁判要旨</w:t>
      </w:r>
      <w:r>
        <w:rPr>
          <w:rFonts w:hint="eastAsia" w:ascii="Arial" w:hAnsi="Arial" w:eastAsia="等线" w:cs="Arial"/>
          <w:sz w:val="22"/>
          <w:szCs w:val="22"/>
          <w:highlight w:val="none"/>
          <w:lang w:val="en-US" w:eastAsia="zh-CN"/>
        </w:rPr>
        <w:t>：</w:t>
      </w:r>
      <w:r>
        <w:rPr>
          <w:rFonts w:ascii="Arial" w:hAnsi="Arial" w:eastAsia="等线" w:cs="Arial"/>
          <w:sz w:val="22"/>
          <w:szCs w:val="22"/>
          <w:highlight w:val="none"/>
          <w:lang w:val="en-US" w:eastAsia="zh-CN"/>
        </w:rPr>
        <w:t>跨境电商平台内经营者利用“通知-删除”机制对其他经营者实施恶意投诉行为，违反诚信原则和商业道德，破坏正常市场竞争秩序，损害其他经营者的合法权益，构成不正当竞争，应依法承担惩罚性赔偿责任。</w:t>
      </w:r>
    </w:p>
    <w:p w14:paraId="05FA8411">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案例二：跨境电子商务零售进口商品合法性的认定——李某与某电子商务有限公司信息网络买卖合同纠纷案</w:t>
      </w:r>
    </w:p>
    <w:p w14:paraId="58E6FE26">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裁判要旨：跨境电商商品交易中，如销售者能够通过商品流转记录、相关法律文件等对跨境商品的正规来源予以证明的，依法不认定该商品为假冒品牌商品。</w:t>
      </w:r>
    </w:p>
    <w:p w14:paraId="44E69774">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网络“鉴定”平台及鉴定人员如不具备相应鉴定资质，则其“鉴定意见”的证明力与具备相应资质的鉴定机构出具的鉴定报告不能等同。</w:t>
      </w:r>
    </w:p>
    <w:p w14:paraId="462AE96B">
      <w:pPr>
        <w:spacing w:before="120" w:after="120" w:line="288" w:lineRule="auto"/>
        <w:ind w:firstLine="440" w:firstLineChars="200"/>
        <w:jc w:val="left"/>
        <w:rPr>
          <w:rFonts w:hint="eastAsia" w:ascii="Arial" w:hAnsi="Arial" w:eastAsia="等线" w:cs="Arial"/>
          <w:sz w:val="22"/>
          <w:szCs w:val="22"/>
          <w:highlight w:val="none"/>
        </w:rPr>
      </w:pPr>
      <w:r>
        <w:rPr>
          <w:rFonts w:hint="eastAsia" w:ascii="Arial" w:hAnsi="Arial" w:eastAsia="等线" w:cs="Arial"/>
          <w:sz w:val="22"/>
          <w:szCs w:val="22"/>
          <w:highlight w:val="none"/>
          <w:lang w:val="en-US" w:eastAsia="zh-CN"/>
        </w:rPr>
        <w:t>案例三：仅提供建站技术服务的网络服务提供者不对跨境电商用户运营在线商店的行为承担责任——裳某公司诉SH**FY INC.侵害作品信息网络传播权纠纷案</w:t>
      </w:r>
    </w:p>
    <w:p w14:paraId="20B64CF0">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裁判要旨：网络服务提供者是否应当承担侵权责任，需结合具体业务模式进行判断。仅提供建站技术服务的网络服务提供者，不对用户运营在线商店的行为承担责任。</w:t>
      </w:r>
    </w:p>
    <w:p w14:paraId="2D6A3894">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案例四：第三方支付机构不对跨境电商平台的侵权行为承担责任——王某诉某支付公司网络侵权责任纠纷案</w:t>
      </w:r>
    </w:p>
    <w:p w14:paraId="1C5FC0D4">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裁判要旨：第三方支付机构在跨境电商交易中的核心义务是依法提供支付结算服务，其审查职责限于商户资质、交易指令合规性等支付环节，不对交易本身的真实性、合法性或者商业风险承担审查责任。</w:t>
      </w:r>
    </w:p>
    <w:p w14:paraId="0CC759BB">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案例五：跨境电商平台内账号主体的认定规则——闪某公司诉顺某公司著作权侵权纠纷案</w:t>
      </w:r>
    </w:p>
    <w:p w14:paraId="0AFCBBAC">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裁判要旨：跨境电商平台内账号主体身份存在争议时，应结合平台账号的特点与功能，充分考虑平台对经营者身份验证的专业性，考查平台注册审核、投诉反馈规定，合理采纳平台自治规则，根据当事人举证能力合理分配举证责任。在被诉经营者未提交直接反证，亦未通过申诉穷尽平台救济反馈机制的情况下，可以根据平台公示信息认定其为账号运营主体，承担相应责任。</w:t>
      </w:r>
    </w:p>
    <w:p w14:paraId="18DF277C">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案例六：依托电商平台促进跨境电商纠纷多元化解——汪某诉R** TRADING LIMITED、某电子商务有限公司信息网络买卖合同纠纷案</w:t>
      </w:r>
    </w:p>
    <w:p w14:paraId="2A56518E">
      <w:pPr>
        <w:spacing w:before="120" w:after="120" w:line="288" w:lineRule="auto"/>
        <w:ind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裁判要旨：对于跨境电商平台内经营者与消费者之间的纠纷，可以充分发挥跨境电商平台及其关联企业的作用，建立境内消费者与境外经营者的和解沟通渠道，促进此类纠纷的及时妥善化解。</w:t>
      </w:r>
    </w:p>
    <w:p w14:paraId="690CAEC7">
      <w:pPr>
        <w:spacing w:before="120" w:after="120" w:line="288" w:lineRule="auto"/>
        <w:jc w:val="left"/>
        <w:rPr>
          <w:rFonts w:hint="default" w:ascii="Arial" w:hAnsi="Arial" w:eastAsia="等线" w:cs="Arial"/>
          <w:sz w:val="22"/>
          <w:lang w:val="en-US" w:eastAsia="zh-CN"/>
        </w:rPr>
      </w:pPr>
    </w:p>
    <w:p w14:paraId="37D7A5A4">
      <w:pPr>
        <w:spacing w:before="120" w:after="120" w:line="288" w:lineRule="auto"/>
        <w:ind w:left="0"/>
        <w:jc w:val="left"/>
        <w:rPr>
          <w:rFonts w:hint="default" w:ascii="Arial" w:hAnsi="Arial" w:eastAsia="等线" w:cs="Arial"/>
          <w:sz w:val="22"/>
          <w:lang w:val="en-US" w:eastAsia="zh-CN"/>
        </w:rPr>
      </w:pPr>
      <w:r>
        <w:rPr>
          <w:rFonts w:ascii="Arial" w:hAnsi="Arial" w:eastAsia="等线" w:cs="Arial"/>
          <w:b/>
          <w:sz w:val="22"/>
        </w:rPr>
        <w:t>来源：</w:t>
      </w:r>
      <w:r>
        <w:rPr>
          <w:rFonts w:hint="eastAsia" w:ascii="Arial" w:hAnsi="Arial" w:eastAsia="等线" w:cs="Arial"/>
          <w:b w:val="0"/>
          <w:bCs/>
          <w:sz w:val="22"/>
          <w:lang w:val="en-US" w:eastAsia="zh-CN"/>
        </w:rPr>
        <w:t>广州互联网法院微信公众号</w:t>
      </w:r>
    </w:p>
    <w:p w14:paraId="4958C5DF">
      <w:pPr>
        <w:spacing w:before="120" w:after="120" w:line="288" w:lineRule="auto"/>
        <w:ind w:left="0"/>
        <w:jc w:val="both"/>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"https://mp.weixin.qq.com/s/Z8G_MLsZB23viGLqXYHerg"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https://mp.weixin.qq.com/s/Z8G_MLsZB23viGLqXYHerg</w:t>
      </w:r>
      <w:r>
        <w:rPr>
          <w:rFonts w:hint="eastAsia" w:ascii="Arial" w:hAnsi="Arial" w:eastAsia="等线" w:cs="Arial"/>
          <w:color w:val="3370FF"/>
          <w:sz w:val="22"/>
          <w:u w:val="single"/>
        </w:rPr>
        <w:fldChar w:fldCharType="end"/>
      </w:r>
    </w:p>
    <w:p w14:paraId="43BAB8C7">
      <w:pPr>
        <w:spacing w:before="120" w:after="120" w:line="288" w:lineRule="auto"/>
        <w:ind w:left="0"/>
        <w:jc w:val="both"/>
        <w:rPr>
          <w:rFonts w:hint="eastAsia" w:ascii="Arial" w:hAnsi="Arial" w:eastAsia="等线" w:cs="Arial"/>
          <w:color w:val="3370FF"/>
          <w:sz w:val="22"/>
          <w:u w:val="single"/>
        </w:rPr>
      </w:pPr>
    </w:p>
    <w:p w14:paraId="402D3B9A">
      <w:pPr>
        <w:spacing w:before="120" w:after="120" w:line="288" w:lineRule="auto"/>
        <w:ind w:left="0"/>
        <w:jc w:val="center"/>
      </w:pPr>
      <w:r>
        <w:rPr>
          <w:rFonts w:ascii="Arial" w:hAnsi="Arial" w:eastAsia="等线" w:cs="Arial"/>
          <w:b/>
          <w:sz w:val="22"/>
        </w:rPr>
        <w:t>【实务指引】</w:t>
      </w:r>
    </w:p>
    <w:p w14:paraId="6CA637D8">
      <w:pPr>
        <w:spacing w:before="120" w:after="120" w:line="288" w:lineRule="auto"/>
        <w:ind w:left="0"/>
        <w:jc w:val="left"/>
      </w:pPr>
    </w:p>
    <w:p w14:paraId="3875484F">
      <w:pPr>
        <w:spacing w:before="120" w:after="120" w:line="288" w:lineRule="auto"/>
        <w:ind w:left="0"/>
        <w:jc w:val="left"/>
        <w:rPr>
          <w:rFonts w:hint="eastAsia" w:ascii="Arial" w:hAnsi="Arial" w:eastAsia="等线" w:cs="Arial"/>
          <w:b/>
          <w:color w:val="245BDB"/>
          <w:sz w:val="22"/>
          <w:highlight w:val="none"/>
        </w:rPr>
      </w:pPr>
      <w:r>
        <w:rPr>
          <w:rFonts w:ascii="Arial" w:hAnsi="Arial" w:eastAsia="等线" w:cs="Arial"/>
          <w:b/>
          <w:color w:val="245BDB"/>
          <w:sz w:val="22"/>
          <w:highlight w:val="none"/>
        </w:rPr>
        <w:t>[</w:t>
      </w:r>
      <w:r>
        <w:rPr>
          <w:rFonts w:hint="eastAsia" w:ascii="Arial" w:hAnsi="Arial" w:eastAsia="等线" w:cs="Arial"/>
          <w:b/>
          <w:color w:val="245BDB"/>
          <w:sz w:val="22"/>
          <w:highlight w:val="none"/>
          <w:lang w:val="en-US" w:eastAsia="zh-CN"/>
        </w:rPr>
        <w:t>数据网络</w:t>
      </w:r>
      <w:r>
        <w:rPr>
          <w:rFonts w:ascii="Arial" w:hAnsi="Arial" w:eastAsia="等线" w:cs="Arial"/>
          <w:b/>
          <w:color w:val="245BDB"/>
          <w:sz w:val="22"/>
          <w:highlight w:val="none"/>
        </w:rPr>
        <w:t>]</w:t>
      </w:r>
      <w:r>
        <w:rPr>
          <w:rFonts w:hint="eastAsia" w:ascii="Arial" w:hAnsi="Arial" w:eastAsia="等线" w:cs="Arial"/>
          <w:b/>
          <w:color w:val="245BDB"/>
          <w:sz w:val="22"/>
          <w:highlight w:val="none"/>
          <w:lang w:val="en-US" w:eastAsia="zh-CN"/>
        </w:rPr>
        <w:t xml:space="preserve"> </w:t>
      </w:r>
      <w:r>
        <w:rPr>
          <w:rFonts w:hint="eastAsia" w:ascii="Arial" w:hAnsi="Arial" w:eastAsia="等线" w:cs="Arial"/>
          <w:b/>
          <w:color w:val="245BDB"/>
          <w:sz w:val="22"/>
          <w:highlight w:val="none"/>
        </w:rPr>
        <w:t>智能时代的知识产权制度和理论发展</w:t>
      </w:r>
    </w:p>
    <w:p w14:paraId="3033AC93">
      <w:pPr>
        <w:spacing w:before="120" w:after="120" w:line="288" w:lineRule="auto"/>
        <w:ind w:left="0"/>
        <w:jc w:val="left"/>
        <w:rPr>
          <w:rFonts w:ascii="Arial" w:hAnsi="Arial" w:eastAsia="等线" w:cs="Arial"/>
          <w:sz w:val="22"/>
          <w:highlight w:val="none"/>
        </w:rPr>
      </w:pPr>
    </w:p>
    <w:p w14:paraId="2FE9CBA0">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进入21世纪，智能时代的数字化、智能化、全球化、法治化特征对知识产权制度提出了全新挑战。本文围绕智能科技（如人工智能、大数据）引发的知识产权问题展开探讨</w:t>
      </w:r>
      <w:r>
        <w:rPr>
          <w:rFonts w:hint="eastAsia" w:ascii="Arial" w:hAnsi="Arial" w:eastAsia="等线" w:cs="Arial"/>
          <w:sz w:val="22"/>
          <w:szCs w:val="22"/>
          <w:highlight w:val="none"/>
          <w:lang w:val="en-US" w:eastAsia="zh-CN"/>
        </w:rPr>
        <w:t>，分析</w:t>
      </w:r>
      <w:r>
        <w:rPr>
          <w:rFonts w:hint="eastAsia" w:ascii="Arial" w:hAnsi="Arial" w:eastAsia="等线" w:cs="Arial"/>
          <w:sz w:val="22"/>
          <w:szCs w:val="22"/>
          <w:highlight w:val="none"/>
          <w:lang w:val="en-US" w:eastAsia="zh-CN"/>
        </w:rPr>
        <w:t>制度如何适应创新模式的变革，平衡保护与公共利益，并提出理论发展与制度调适的关键路径。</w:t>
      </w:r>
    </w:p>
    <w:p w14:paraId="6B712B16">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文章指出智能时代的四大特征。</w:t>
      </w:r>
      <w:r>
        <w:rPr>
          <w:rFonts w:hint="eastAsia" w:ascii="Arial" w:hAnsi="Arial" w:eastAsia="等线" w:cs="Arial"/>
          <w:sz w:val="22"/>
          <w:szCs w:val="22"/>
          <w:highlight w:val="none"/>
          <w:lang w:val="en-US" w:eastAsia="zh-CN"/>
        </w:rPr>
        <w:t>首先是</w:t>
      </w:r>
      <w:r>
        <w:rPr>
          <w:rFonts w:hint="eastAsia" w:ascii="Arial" w:hAnsi="Arial" w:eastAsia="等线" w:cs="Arial"/>
          <w:sz w:val="22"/>
          <w:szCs w:val="22"/>
          <w:highlight w:val="none"/>
          <w:lang w:val="en-US" w:eastAsia="zh-CN"/>
        </w:rPr>
        <w:t>数字化：数据成为核心生产要素，数字技术重构创作、传播与保护模式，同时</w:t>
      </w:r>
      <w:r>
        <w:rPr>
          <w:rFonts w:hint="eastAsia" w:ascii="Arial" w:hAnsi="Arial" w:eastAsia="等线" w:cs="Arial"/>
          <w:sz w:val="22"/>
          <w:szCs w:val="22"/>
          <w:highlight w:val="none"/>
          <w:lang w:val="en-US" w:eastAsia="zh-CN"/>
        </w:rPr>
        <w:t>也</w:t>
      </w:r>
      <w:r>
        <w:rPr>
          <w:rFonts w:hint="eastAsia" w:ascii="Arial" w:hAnsi="Arial" w:eastAsia="等线" w:cs="Arial"/>
          <w:sz w:val="22"/>
          <w:szCs w:val="22"/>
          <w:highlight w:val="none"/>
          <w:lang w:val="en-US" w:eastAsia="zh-CN"/>
        </w:rPr>
        <w:t>带来网络安全与隐私挑战。</w:t>
      </w:r>
      <w:r>
        <w:rPr>
          <w:rFonts w:hint="eastAsia" w:ascii="Arial" w:hAnsi="Arial" w:eastAsia="等线" w:cs="Arial"/>
          <w:sz w:val="22"/>
          <w:szCs w:val="22"/>
          <w:highlight w:val="none"/>
          <w:lang w:val="en-US" w:eastAsia="zh-CN"/>
        </w:rPr>
        <w:t>其次是</w:t>
      </w:r>
      <w:r>
        <w:rPr>
          <w:rFonts w:hint="eastAsia" w:ascii="Arial" w:hAnsi="Arial" w:eastAsia="等线" w:cs="Arial"/>
          <w:sz w:val="22"/>
          <w:szCs w:val="22"/>
          <w:highlight w:val="none"/>
          <w:lang w:val="en-US" w:eastAsia="zh-CN"/>
        </w:rPr>
        <w:t>智能化：人工智能的广泛应用催生新型创作（如AI生成内容）和技术方案，引发主体资格（如AI是否为发明人）、保护对象界定等争议。</w:t>
      </w:r>
      <w:r>
        <w:rPr>
          <w:rFonts w:hint="eastAsia" w:ascii="Arial" w:hAnsi="Arial" w:eastAsia="等线" w:cs="Arial"/>
          <w:sz w:val="22"/>
          <w:szCs w:val="22"/>
          <w:highlight w:val="none"/>
          <w:lang w:val="en-US" w:eastAsia="zh-CN"/>
        </w:rPr>
        <w:t>再次是</w:t>
      </w:r>
      <w:r>
        <w:rPr>
          <w:rFonts w:hint="eastAsia" w:ascii="Arial" w:hAnsi="Arial" w:eastAsia="等线" w:cs="Arial"/>
          <w:sz w:val="22"/>
          <w:szCs w:val="22"/>
          <w:highlight w:val="none"/>
          <w:lang w:val="en-US" w:eastAsia="zh-CN"/>
        </w:rPr>
        <w:t>全球化：数字技术推动“新全球化”，跨境数据流动、国际规则协调（如《全球数字契约》）成为焦点，需应对发展中国家与发达国家的数字鸿沟。</w:t>
      </w:r>
      <w:r>
        <w:rPr>
          <w:rFonts w:hint="eastAsia" w:ascii="Arial" w:hAnsi="Arial" w:eastAsia="等线" w:cs="Arial"/>
          <w:sz w:val="22"/>
          <w:szCs w:val="22"/>
          <w:highlight w:val="none"/>
          <w:lang w:val="en-US" w:eastAsia="zh-CN"/>
        </w:rPr>
        <w:t>最后是</w:t>
      </w:r>
      <w:r>
        <w:rPr>
          <w:rFonts w:hint="eastAsia" w:ascii="Arial" w:hAnsi="Arial" w:eastAsia="等线" w:cs="Arial"/>
          <w:sz w:val="22"/>
          <w:szCs w:val="22"/>
          <w:highlight w:val="none"/>
          <w:lang w:val="en-US" w:eastAsia="zh-CN"/>
        </w:rPr>
        <w:t>法治化：智能科技需法治规范，各国通过立法（如欧盟《人工智能法》）和伦理框架引导技术向善，知识产权法需与技术动态融合。</w:t>
      </w:r>
    </w:p>
    <w:p w14:paraId="35044B46">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文章进一步指出知识产权面临的三大核心问题。一是主体模糊与扩张：AI生成内容的权利归属争议（</w:t>
      </w:r>
      <w:r>
        <w:rPr>
          <w:rFonts w:hint="eastAsia" w:ascii="Arial" w:hAnsi="Arial" w:eastAsia="等线" w:cs="Arial"/>
          <w:sz w:val="22"/>
          <w:szCs w:val="22"/>
          <w:highlight w:val="none"/>
          <w:lang w:val="en-US" w:eastAsia="zh-CN"/>
        </w:rPr>
        <w:t>如</w:t>
      </w:r>
      <w:r>
        <w:rPr>
          <w:rFonts w:hint="eastAsia" w:ascii="Arial" w:hAnsi="Arial" w:eastAsia="等线" w:cs="Arial"/>
          <w:sz w:val="22"/>
          <w:szCs w:val="22"/>
          <w:highlight w:val="none"/>
          <w:lang w:val="en-US" w:eastAsia="zh-CN"/>
        </w:rPr>
        <w:t>人类贡献程度、AI是否具备主体资格）。司法实践多否认AI主体地位，但需明确人类参与的标准（如“独创性”体现个性化选择）。二是保护对象的界定难题：AI生成内容（如文章、图像等）是否受著作权保护？算法、大模型的可专利性如何审查？数据作为新型生产要素，是否需要建立“数据产权”制度？三是权利保护的新挑战：技术（如生成式AI）导致侵权隐蔽化，责任分配需平衡创新与保护。区块链、智能合约等技术为权利管理提供新工具。</w:t>
      </w:r>
    </w:p>
    <w:p w14:paraId="7DC27993">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文章提出知识产权发展的五大关键维度。一是体系化建构保护对象理论：以“符号说”为基础，区分物理层、符号层、信息层，厘清数据等新型对象的法律定位。二是重塑保护条件理论：反思“独创性”“创造性”等概念，结合AI工具特性调整标准（如关注人类对表达的控制）。三是制度调适创新模式：解决“大规模微小利益汇聚”问题（如大模型训练数据许可），探索集体管理、开源模式动态责任分配（如避风港规则在AI时代的适应性）。四是科技与法治有机融合：利用区块链存证、AI辅助审查等技术提升保护效率，推动“法律+技术”协同治理。五是国际规则对话与协调：参与全球知识产权治理（如世界知识产权组织对话），推动包容性规则，缩小数字鸿沟。</w:t>
      </w:r>
    </w:p>
    <w:p w14:paraId="21DE7ED5">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最后</w:t>
      </w:r>
      <w:r>
        <w:rPr>
          <w:rFonts w:hint="eastAsia" w:ascii="Arial" w:hAnsi="Arial" w:eastAsia="等线" w:cs="Arial"/>
          <w:sz w:val="22"/>
          <w:szCs w:val="22"/>
          <w:highlight w:val="none"/>
          <w:lang w:val="en-US" w:eastAsia="zh-CN"/>
        </w:rPr>
        <w:t>，文章</w:t>
      </w:r>
      <w:r>
        <w:rPr>
          <w:rFonts w:hint="eastAsia" w:ascii="Arial" w:hAnsi="Arial" w:eastAsia="等线" w:cs="Arial"/>
          <w:sz w:val="22"/>
          <w:szCs w:val="22"/>
          <w:highlight w:val="none"/>
          <w:lang w:val="en-US" w:eastAsia="zh-CN"/>
        </w:rPr>
        <w:t>指出智能时代的知识产权法需以问题为导向，通过理论创新、制度优化与技术融合，构建兼顾激励创新与公共利益的法治体系。中国应立足前沿实践，贡献全球知识产权治理的“中国方案”，推动数字时代的文明进步。</w:t>
      </w:r>
    </w:p>
    <w:p w14:paraId="2C6C5784">
      <w:pPr>
        <w:spacing w:before="120" w:after="120" w:line="288" w:lineRule="auto"/>
        <w:ind w:left="0"/>
        <w:jc w:val="left"/>
        <w:rPr>
          <w:rFonts w:hint="eastAsia" w:ascii="Arial" w:hAnsi="Arial" w:eastAsia="等线" w:cs="Arial"/>
          <w:sz w:val="22"/>
          <w:highlight w:val="yellow"/>
          <w:lang w:val="en-US" w:eastAsia="zh-CN"/>
        </w:rPr>
      </w:pPr>
    </w:p>
    <w:p w14:paraId="11868FB5">
      <w:pPr>
        <w:spacing w:before="120" w:after="120" w:line="288" w:lineRule="auto"/>
        <w:ind w:left="0"/>
        <w:jc w:val="left"/>
        <w:rPr>
          <w:rFonts w:hint="default" w:ascii="Arial" w:hAnsi="Arial" w:eastAsia="等线" w:cs="Arial"/>
          <w:b w:val="0"/>
          <w:bCs/>
          <w:sz w:val="22"/>
          <w:highlight w:val="none"/>
          <w:lang w:val="en-US" w:eastAsia="zh-CN"/>
        </w:rPr>
      </w:pPr>
      <w:r>
        <w:rPr>
          <w:rFonts w:ascii="Arial" w:hAnsi="Arial" w:eastAsia="等线" w:cs="Arial"/>
          <w:b/>
          <w:bCs w:val="0"/>
          <w:sz w:val="22"/>
          <w:highlight w:val="none"/>
        </w:rPr>
        <w:t>来源：</w:t>
      </w:r>
      <w:r>
        <w:rPr>
          <w:rFonts w:hint="eastAsia" w:ascii="Arial" w:hAnsi="Arial" w:eastAsia="等线" w:cs="Arial"/>
          <w:b w:val="0"/>
          <w:bCs/>
          <w:sz w:val="22"/>
          <w:highlight w:val="none"/>
          <w:lang w:val="en-US" w:eastAsia="zh-CN"/>
        </w:rPr>
        <w:t>数字法治杂志</w:t>
      </w:r>
      <w:r>
        <w:rPr>
          <w:rFonts w:hint="eastAsia" w:ascii="Arial" w:hAnsi="Arial" w:eastAsia="等线" w:cs="Arial"/>
          <w:b w:val="0"/>
          <w:bCs/>
          <w:sz w:val="22"/>
          <w:highlight w:val="none"/>
          <w:lang w:val="en-US" w:eastAsia="zh-CN"/>
        </w:rPr>
        <w:t>微信公众号</w:t>
      </w:r>
    </w:p>
    <w:p w14:paraId="16BFF708">
      <w:pPr>
        <w:spacing w:before="120" w:after="120" w:line="288" w:lineRule="auto"/>
        <w:ind w:left="0"/>
        <w:jc w:val="left"/>
        <w:rPr>
          <w:rFonts w:hint="default" w:eastAsia="等线"/>
          <w:highlight w:val="none"/>
          <w:lang w:val="en-US" w:eastAsia="zh-CN"/>
        </w:rPr>
      </w:pPr>
      <w:r>
        <w:rPr>
          <w:rFonts w:hint="eastAsia" w:ascii="Arial" w:hAnsi="Arial" w:eastAsia="等线" w:cs="Arial"/>
          <w:b/>
          <w:bCs w:val="0"/>
          <w:sz w:val="22"/>
          <w:highlight w:val="none"/>
          <w:lang w:val="en-US" w:eastAsia="zh-CN"/>
        </w:rPr>
        <w:t>提供人：</w:t>
      </w:r>
      <w:r>
        <w:rPr>
          <w:rFonts w:hint="eastAsia" w:ascii="Arial" w:hAnsi="Arial" w:eastAsia="等线" w:cs="Arial"/>
          <w:sz w:val="22"/>
          <w:szCs w:val="22"/>
          <w:highlight w:val="none"/>
          <w:lang w:val="en-US" w:eastAsia="zh-CN"/>
        </w:rPr>
        <w:t>张吉豫，中国人民大学法学院副教授，中国人民大学未来法治研究院执行院长</w:t>
      </w:r>
    </w:p>
    <w:p w14:paraId="56BC0E3E">
      <w:pPr>
        <w:spacing w:before="120" w:after="120" w:line="288" w:lineRule="auto"/>
        <w:ind w:left="0"/>
        <w:jc w:val="both"/>
        <w:rPr>
          <w:rFonts w:hint="eastAsia" w:ascii="Arial" w:hAnsi="Arial" w:eastAsia="等线" w:cs="Arial"/>
          <w:color w:val="3370FF"/>
          <w:sz w:val="22"/>
          <w:highlight w:val="none"/>
          <w:u w:val="single"/>
        </w:rPr>
      </w:pPr>
      <w:r>
        <w:rPr>
          <w:rFonts w:hint="eastAsia" w:ascii="Arial" w:hAnsi="Arial" w:eastAsia="等线" w:cs="Arial"/>
          <w:color w:val="3370FF"/>
          <w:sz w:val="22"/>
          <w:highlight w:val="none"/>
          <w:u w:val="single"/>
        </w:rPr>
        <w:fldChar w:fldCharType="begin"/>
      </w:r>
      <w:r>
        <w:rPr>
          <w:rFonts w:hint="eastAsia" w:ascii="Arial" w:hAnsi="Arial" w:eastAsia="等线" w:cs="Arial"/>
          <w:color w:val="3370FF"/>
          <w:sz w:val="22"/>
          <w:highlight w:val="none"/>
          <w:u w:val="single"/>
        </w:rPr>
        <w:instrText xml:space="preserve"> HYPERLINK "https://mp.weixin.qq.com/s/Z53z1mPOvqCC27s9PrH2_g" </w:instrText>
      </w:r>
      <w:r>
        <w:rPr>
          <w:rFonts w:hint="eastAsia" w:ascii="Arial" w:hAnsi="Arial" w:eastAsia="等线" w:cs="Arial"/>
          <w:color w:val="3370FF"/>
          <w:sz w:val="22"/>
          <w:highlight w:val="none"/>
          <w:u w:val="single"/>
        </w:rPr>
        <w:fldChar w:fldCharType="separate"/>
      </w:r>
      <w:r>
        <w:rPr>
          <w:rStyle w:val="8"/>
          <w:rFonts w:hint="eastAsia" w:ascii="Arial" w:hAnsi="Arial" w:eastAsia="等线" w:cs="Arial"/>
          <w:sz w:val="22"/>
          <w:highlight w:val="none"/>
        </w:rPr>
        <w:t>https://mp.weixin.qq.com/s/Z53z1mPOvqCC27s9PrH2_g</w:t>
      </w:r>
      <w:r>
        <w:rPr>
          <w:rFonts w:hint="eastAsia" w:ascii="Arial" w:hAnsi="Arial" w:eastAsia="等线" w:cs="Arial"/>
          <w:color w:val="3370FF"/>
          <w:sz w:val="22"/>
          <w:highlight w:val="none"/>
          <w:u w:val="single"/>
        </w:rPr>
        <w:fldChar w:fldCharType="end"/>
      </w:r>
    </w:p>
    <w:p w14:paraId="482A1AF1">
      <w:pPr>
        <w:spacing w:before="120" w:after="120" w:line="288" w:lineRule="auto"/>
        <w:ind w:left="0"/>
        <w:jc w:val="both"/>
        <w:rPr>
          <w:rFonts w:hint="eastAsia" w:ascii="Arial" w:hAnsi="Arial" w:eastAsia="等线" w:cs="Arial"/>
          <w:color w:val="3370FF"/>
          <w:sz w:val="22"/>
          <w:highlight w:val="none"/>
          <w:u w:val="single"/>
        </w:rPr>
      </w:pPr>
    </w:p>
    <w:p w14:paraId="76F3E361">
      <w:pPr>
        <w:spacing w:before="120" w:after="120" w:line="288" w:lineRule="auto"/>
        <w:ind w:left="0"/>
        <w:jc w:val="center"/>
      </w:pPr>
      <w:r>
        <w:rPr>
          <w:rFonts w:ascii="Arial" w:hAnsi="Arial" w:eastAsia="等线" w:cs="Arial"/>
          <w:b/>
          <w:sz w:val="22"/>
        </w:rPr>
        <w:t>【法律产品】</w:t>
      </w:r>
    </w:p>
    <w:p w14:paraId="6A560B02">
      <w:pPr>
        <w:spacing w:before="120" w:after="120" w:line="288" w:lineRule="auto"/>
        <w:ind w:left="0"/>
        <w:jc w:val="left"/>
      </w:pPr>
    </w:p>
    <w:p w14:paraId="5C0E2584">
      <w:pPr>
        <w:spacing w:before="120" w:after="120" w:line="288" w:lineRule="auto"/>
        <w:jc w:val="left"/>
        <w:rPr>
          <w:rFonts w:hint="eastAsia" w:ascii="Arial" w:hAnsi="Arial" w:eastAsia="等线" w:cs="Arial"/>
          <w:b/>
          <w:color w:val="245BDB"/>
          <w:sz w:val="22"/>
          <w:lang w:val="en-US" w:eastAsia="zh-CN"/>
        </w:rPr>
      </w:pPr>
      <w:r>
        <w:rPr>
          <w:rFonts w:ascii="Arial" w:hAnsi="Arial" w:eastAsia="等线" w:cs="Arial"/>
          <w:b/>
          <w:color w:val="245BDB"/>
          <w:sz w:val="22"/>
        </w:rPr>
        <w:t>[</w:t>
      </w:r>
      <w:r>
        <w:rPr>
          <w:rFonts w:hint="eastAsia" w:ascii="Arial" w:hAnsi="Arial" w:eastAsia="等线" w:cs="Arial"/>
          <w:b/>
          <w:color w:val="245BDB"/>
          <w:sz w:val="22"/>
          <w:lang w:val="en-US" w:eastAsia="zh-CN"/>
        </w:rPr>
        <w:t>人工智能</w:t>
      </w:r>
      <w:r>
        <w:rPr>
          <w:rFonts w:ascii="Arial" w:hAnsi="Arial" w:eastAsia="等线" w:cs="Arial"/>
          <w:b/>
          <w:color w:val="245BDB"/>
          <w:sz w:val="22"/>
        </w:rPr>
        <w:t xml:space="preserve">] </w:t>
      </w:r>
      <w:r>
        <w:rPr>
          <w:rFonts w:hint="eastAsia" w:ascii="Arial" w:hAnsi="Arial" w:eastAsia="等线" w:cs="Arial"/>
          <w:b/>
          <w:color w:val="245BDB"/>
          <w:sz w:val="22"/>
          <w:lang w:val="en-US" w:eastAsia="zh-CN"/>
        </w:rPr>
        <w:t>华商律师发布《AI产品全生命周期法律服务产品》</w:t>
      </w:r>
    </w:p>
    <w:p w14:paraId="052340DD">
      <w:pPr>
        <w:keepNext w:val="0"/>
        <w:keepLines w:val="0"/>
        <w:pageBreakBefore w:val="0"/>
        <w:widowControl w:val="0"/>
        <w:kinsoku/>
        <w:wordWrap/>
        <w:overflowPunct/>
        <w:topLinePunct w:val="0"/>
        <w:autoSpaceDE/>
        <w:autoSpaceDN/>
        <w:bidi w:val="0"/>
        <w:adjustRightInd/>
        <w:snapToGrid/>
        <w:spacing w:before="120" w:after="120" w:line="288" w:lineRule="auto"/>
        <w:jc w:val="left"/>
        <w:textAlignment w:val="auto"/>
        <w:rPr>
          <w:rFonts w:hint="eastAsia" w:ascii="Arial" w:hAnsi="Arial" w:eastAsia="等线" w:cs="Arial"/>
          <w:sz w:val="22"/>
          <w:highlight w:val="yellow"/>
          <w:lang w:val="en-US" w:eastAsia="zh-CN"/>
        </w:rPr>
      </w:pPr>
    </w:p>
    <w:p w14:paraId="4789CA6C">
      <w:pPr>
        <w:spacing w:before="120" w:after="120" w:line="288" w:lineRule="auto"/>
        <w:ind w:firstLine="440" w:firstLineChars="200"/>
        <w:jc w:val="both"/>
        <w:rPr>
          <w:rFonts w:hint="eastAsia" w:ascii="Arial" w:hAnsi="Arial" w:eastAsia="等线" w:cs="Arial"/>
          <w:sz w:val="22"/>
          <w:szCs w:val="22"/>
          <w:lang w:eastAsia="zh-CN"/>
        </w:rPr>
      </w:pPr>
      <w:r>
        <w:rPr>
          <w:rFonts w:hint="eastAsia" w:ascii="Arial" w:hAnsi="Arial" w:eastAsia="等线" w:cs="Arial"/>
          <w:sz w:val="22"/>
          <w:szCs w:val="22"/>
          <w:lang w:eastAsia="zh-CN"/>
        </w:rPr>
        <w:t>在数字化时代，人工智能技术正以迅猛之势席卷全球，以空前的速度重塑着各行各业的格局。从智能语音助手到自动驾驶汽车，从医疗影像诊断到金融风险预测，AI产品不断涌现，广泛渗透至生活的各个领域，为人类社会带来了前所未有的便捷与创新。然而，</w:t>
      </w:r>
      <w:r>
        <w:rPr>
          <w:rFonts w:hint="eastAsia" w:ascii="Arial" w:hAnsi="Arial" w:eastAsia="等线" w:cs="Arial"/>
          <w:sz w:val="22"/>
          <w:szCs w:val="22"/>
          <w:lang w:val="en-US" w:eastAsia="zh-CN"/>
        </w:rPr>
        <w:t>与此同时，AI企业也遭遇了诸多严峻的法律挑战。AI产品的整个生命周期，包括研发、运营、迭代和下架等环节，均潜藏着复杂的法律风险。从研发阶段可能引发的个人信息保护和知识产权纠纷的数据收集与算法设计，到运营阶段可能面临的用户隐私、市场竞争、广告宣传等法律问题，再到供应链管理和售后服务中的合规难题，每一个环节都如同一颗定时炸弹，稍有不慎便可能引发严重的法律后果，导致产品下架、巨额罚款甚至品牌声誉受损。此外，国内外针对AI的法律法规和监管政策如雨后春笋般不断涌现，且更新速度极快。AI企业如同在迷雾中航行的船只，急需专业、系统的法律导航，以确保在合法合规的轨道上稳健前行。为此，华商律师事务所精心打造了AI产品全生命周期法律服务，从开发准入、订单交付与供应链管理、售后服务与问题处理等环节为AI企业提供全生命周期法律服务。</w:t>
      </w:r>
    </w:p>
    <w:p w14:paraId="5FC3F14F">
      <w:pPr>
        <w:spacing w:before="120" w:after="120" w:line="288" w:lineRule="auto"/>
        <w:jc w:val="both"/>
        <w:rPr>
          <w:rFonts w:hint="default" w:ascii="Arial" w:hAnsi="Arial" w:eastAsia="等线" w:cs="Arial"/>
          <w:sz w:val="22"/>
          <w:szCs w:val="22"/>
          <w:highlight w:val="yellow"/>
          <w:lang w:val="en-US" w:eastAsia="zh-CN"/>
        </w:rPr>
      </w:pPr>
    </w:p>
    <w:p w14:paraId="0AA1B270">
      <w:pPr>
        <w:spacing w:before="120" w:after="120" w:line="288" w:lineRule="auto"/>
        <w:ind w:left="0"/>
        <w:jc w:val="both"/>
        <w:rPr>
          <w:rFonts w:hint="default" w:ascii="Arial" w:hAnsi="Arial" w:eastAsia="等线" w:cs="Arial"/>
          <w:sz w:val="22"/>
          <w:szCs w:val="22"/>
          <w:highlight w:val="none"/>
          <w:lang w:val="en-US" w:eastAsia="zh-CN"/>
        </w:rPr>
      </w:pPr>
      <w:r>
        <w:rPr>
          <w:rFonts w:ascii="Arial" w:hAnsi="Arial" w:eastAsia="等线" w:cs="Arial"/>
          <w:b/>
          <w:bCs/>
          <w:sz w:val="22"/>
          <w:szCs w:val="22"/>
          <w:highlight w:val="none"/>
        </w:rPr>
        <w:t>来源</w:t>
      </w:r>
      <w:r>
        <w:rPr>
          <w:rFonts w:ascii="Arial" w:hAnsi="Arial" w:eastAsia="等线" w:cs="Arial"/>
          <w:sz w:val="22"/>
          <w:szCs w:val="22"/>
          <w:highlight w:val="none"/>
        </w:rPr>
        <w:t>：</w:t>
      </w:r>
      <w:r>
        <w:rPr>
          <w:rFonts w:hint="eastAsia" w:ascii="Arial" w:hAnsi="Arial" w:eastAsia="等线" w:cs="Arial"/>
          <w:sz w:val="22"/>
          <w:szCs w:val="22"/>
          <w:highlight w:val="none"/>
          <w:lang w:val="en-US" w:eastAsia="zh-CN"/>
        </w:rPr>
        <w:t xml:space="preserve">华商律师微信公众号 </w:t>
      </w:r>
    </w:p>
    <w:p w14:paraId="72FA360D">
      <w:pPr>
        <w:spacing w:before="120" w:after="120" w:line="288" w:lineRule="auto"/>
        <w:ind w:left="0"/>
        <w:jc w:val="both"/>
        <w:rPr>
          <w:rFonts w:hint="eastAsia" w:ascii="Arial" w:hAnsi="Arial" w:eastAsia="等线" w:cs="Arial"/>
          <w:color w:val="3370FF"/>
          <w:sz w:val="22"/>
          <w:highlight w:val="none"/>
          <w:u w:val="single"/>
        </w:rPr>
      </w:pPr>
      <w:r>
        <w:rPr>
          <w:rFonts w:hint="eastAsia" w:ascii="Arial" w:hAnsi="Arial" w:eastAsia="等线" w:cs="Arial"/>
          <w:color w:val="3370FF"/>
          <w:sz w:val="22"/>
          <w:highlight w:val="none"/>
          <w:u w:val="single"/>
        </w:rPr>
        <w:fldChar w:fldCharType="begin"/>
      </w:r>
      <w:r>
        <w:rPr>
          <w:rFonts w:hint="eastAsia" w:ascii="Arial" w:hAnsi="Arial" w:eastAsia="等线" w:cs="Arial"/>
          <w:color w:val="3370FF"/>
          <w:sz w:val="22"/>
          <w:highlight w:val="none"/>
          <w:u w:val="single"/>
        </w:rPr>
        <w:instrText xml:space="preserve"> HYPERLINK "https://mp.weixin.qq.com/s/cl12_5yu7nlF7irqrb36XQ" </w:instrText>
      </w:r>
      <w:r>
        <w:rPr>
          <w:rFonts w:hint="eastAsia" w:ascii="Arial" w:hAnsi="Arial" w:eastAsia="等线" w:cs="Arial"/>
          <w:color w:val="3370FF"/>
          <w:sz w:val="22"/>
          <w:highlight w:val="none"/>
          <w:u w:val="single"/>
        </w:rPr>
        <w:fldChar w:fldCharType="separate"/>
      </w:r>
      <w:r>
        <w:rPr>
          <w:rStyle w:val="8"/>
          <w:rFonts w:hint="eastAsia" w:ascii="Arial" w:hAnsi="Arial" w:eastAsia="等线" w:cs="Arial"/>
          <w:sz w:val="22"/>
          <w:highlight w:val="none"/>
        </w:rPr>
        <w:t>https://mp.weixin.qq.com/s/cl12_5yu7nlF7irqrb36XQ</w:t>
      </w:r>
      <w:r>
        <w:rPr>
          <w:rFonts w:hint="eastAsia" w:ascii="Arial" w:hAnsi="Arial" w:eastAsia="等线" w:cs="Arial"/>
          <w:color w:val="3370FF"/>
          <w:sz w:val="22"/>
          <w:highlight w:val="none"/>
          <w:u w:val="single"/>
        </w:rPr>
        <w:fldChar w:fldCharType="end"/>
      </w:r>
    </w:p>
    <w:p w14:paraId="37FF383E">
      <w:pPr>
        <w:spacing w:before="120" w:after="120" w:line="288" w:lineRule="auto"/>
        <w:ind w:left="0"/>
        <w:jc w:val="both"/>
        <w:rPr>
          <w:rFonts w:hint="eastAsia" w:ascii="Arial" w:hAnsi="Arial" w:eastAsia="等线" w:cs="Arial"/>
          <w:color w:val="3370FF"/>
          <w:sz w:val="22"/>
          <w:highlight w:val="none"/>
          <w:u w:val="single"/>
        </w:rPr>
      </w:pPr>
    </w:p>
    <w:p w14:paraId="6D8FE0A8">
      <w:pPr>
        <w:spacing w:before="120" w:after="120" w:line="288" w:lineRule="auto"/>
        <w:ind w:left="0"/>
        <w:jc w:val="center"/>
        <w:rPr>
          <w:rFonts w:hint="eastAsia" w:ascii="Arial" w:hAnsi="Arial" w:eastAsia="等线" w:cs="Arial"/>
          <w:color w:val="3370FF"/>
          <w:sz w:val="22"/>
          <w:u w:val="single"/>
        </w:rPr>
      </w:pPr>
      <w:r>
        <w:rPr>
          <w:rFonts w:ascii="Arial" w:hAnsi="Arial" w:eastAsia="等线" w:cs="Arial"/>
          <w:b/>
          <w:sz w:val="22"/>
        </w:rPr>
        <w:t>【动态信息】</w:t>
      </w:r>
    </w:p>
    <w:p w14:paraId="0917AC00">
      <w:pPr>
        <w:spacing w:before="120" w:after="120" w:line="288" w:lineRule="auto"/>
        <w:ind w:left="0"/>
        <w:jc w:val="left"/>
        <w:rPr>
          <w:rFonts w:hint="eastAsia" w:ascii="Arial" w:hAnsi="Arial" w:eastAsia="等线" w:cs="Arial"/>
          <w:color w:val="3370FF"/>
          <w:sz w:val="22"/>
          <w:u w:val="single"/>
        </w:rPr>
      </w:pPr>
    </w:p>
    <w:p w14:paraId="1EBCF0ED">
      <w:pPr>
        <w:spacing w:before="120" w:after="120" w:line="288" w:lineRule="auto"/>
        <w:ind w:left="0"/>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自然资源部印发地理信息数据分类分级指南</w:t>
      </w:r>
    </w:p>
    <w:p w14:paraId="2015A20F">
      <w:pPr>
        <w:widowControl w:val="0"/>
        <w:spacing w:before="120" w:after="120" w:line="288" w:lineRule="auto"/>
        <w:ind w:firstLine="440" w:firstLineChars="200"/>
        <w:jc w:val="left"/>
        <w:rPr>
          <w:rFonts w:hint="eastAsia" w:ascii="Arial" w:hAnsi="Arial" w:eastAsia="等线" w:cs="Arial"/>
          <w:sz w:val="22"/>
          <w:szCs w:val="22"/>
        </w:rPr>
      </w:pPr>
    </w:p>
    <w:p w14:paraId="67722C6C">
      <w:pPr>
        <w:spacing w:before="120" w:after="120" w:line="288" w:lineRule="auto"/>
        <w:ind w:left="0" w:firstLine="440" w:firstLineChars="200"/>
        <w:jc w:val="left"/>
        <w:rPr>
          <w:rFonts w:hint="eastAsia" w:ascii="Arial" w:hAnsi="Arial" w:eastAsia="等线" w:cs="Arial"/>
          <w:sz w:val="22"/>
          <w:szCs w:val="22"/>
        </w:rPr>
      </w:pPr>
      <w:r>
        <w:rPr>
          <w:rFonts w:hint="eastAsia" w:ascii="Arial" w:hAnsi="Arial" w:eastAsia="等线" w:cs="Arial"/>
          <w:sz w:val="22"/>
          <w:szCs w:val="22"/>
        </w:rPr>
        <w:t>为加强地理信息数据安全保护，促进地理信息数据流通交易和开发利用，自然资源部近日印发《地理信息数据分类分级工作指南（试行）》</w:t>
      </w:r>
      <w:r>
        <w:rPr>
          <w:rFonts w:hint="eastAsia" w:ascii="Arial" w:hAnsi="Arial" w:eastAsia="等线" w:cs="Arial"/>
          <w:sz w:val="22"/>
          <w:szCs w:val="22"/>
          <w:lang w:eastAsia="zh-CN"/>
        </w:rPr>
        <w:t>。</w:t>
      </w:r>
      <w:r>
        <w:rPr>
          <w:rFonts w:hint="eastAsia" w:ascii="Arial" w:hAnsi="Arial" w:eastAsia="等线" w:cs="Arial"/>
          <w:sz w:val="22"/>
          <w:szCs w:val="22"/>
        </w:rPr>
        <w:t>《指南》包括四方面主要内容。一是明确地理信息数据分类分级原则。在数据分类、数据分级、目录管理与更新等各环节均应遵循“科学实用、综合判定、动态更新”原则。二是确定数据分类规则。将地理信息数据分为基础地理信息数据、遥感影像数据和专题地理信息数据三大类，大类下再细分若干中类，同时可根据数据管理实际和应用服务场景再细化分类。三是提出数据分级规则。确定了识别地理信息数据分级因素、开展数据影响分析和综合评估定级的分级规则，同时给出了重要数据、核心数据识别的判定指标。四是明确分类分级管理要求。规定了地理信息重要数据目录申报、审核、认定等相关工作程序，以及动态更新情形与更新管理等若干要求。</w:t>
      </w:r>
    </w:p>
    <w:p w14:paraId="60397AF5">
      <w:pPr>
        <w:spacing w:before="120" w:after="120" w:line="288" w:lineRule="auto"/>
        <w:ind w:left="0" w:firstLine="440" w:firstLineChars="200"/>
        <w:jc w:val="left"/>
        <w:rPr>
          <w:rFonts w:hint="eastAsia" w:ascii="Arial" w:hAnsi="Arial" w:eastAsia="等线" w:cs="Arial"/>
          <w:sz w:val="22"/>
          <w:szCs w:val="22"/>
          <w:highlight w:val="yellow"/>
          <w:lang w:val="en-US" w:eastAsia="zh-CN"/>
        </w:rPr>
      </w:pPr>
    </w:p>
    <w:p w14:paraId="7C39A71F">
      <w:pPr>
        <w:spacing w:before="120" w:after="120" w:line="288" w:lineRule="auto"/>
        <w:ind w:left="0"/>
        <w:jc w:val="left"/>
        <w:rPr>
          <w:rFonts w:hint="default"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温州市自然资源和规划局 </w:t>
      </w:r>
    </w:p>
    <w:p w14:paraId="2E7FFB64">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"https://zrzyj.wenzhou.gov.cn/art/2025/5/13/art_1341231_58964994.html"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https://zrzyj.wenzhou.gov.cn/art/2025/5/13/art_1341231_58964994.html</w:t>
      </w:r>
      <w:r>
        <w:rPr>
          <w:rFonts w:hint="eastAsia" w:ascii="Arial" w:hAnsi="Arial" w:eastAsia="等线" w:cs="Arial"/>
          <w:color w:val="3370FF"/>
          <w:sz w:val="22"/>
          <w:u w:val="single"/>
        </w:rPr>
        <w:fldChar w:fldCharType="end"/>
      </w:r>
    </w:p>
    <w:p w14:paraId="6C64AA5F">
      <w:pPr>
        <w:spacing w:before="120" w:after="120" w:line="288" w:lineRule="auto"/>
        <w:ind w:left="0"/>
        <w:jc w:val="left"/>
        <w:rPr>
          <w:rFonts w:hint="eastAsia" w:ascii="Arial" w:hAnsi="Arial" w:eastAsia="等线" w:cs="Arial"/>
          <w:color w:val="3370FF"/>
          <w:sz w:val="22"/>
          <w:u w:val="single"/>
        </w:rPr>
      </w:pPr>
    </w:p>
    <w:p w14:paraId="48690E65">
      <w:pPr>
        <w:widowControl w:val="0"/>
        <w:spacing w:before="120" w:after="120" w:line="288" w:lineRule="auto"/>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中央网信办</w:t>
      </w:r>
      <w:r>
        <w:rPr>
          <w:rFonts w:hint="eastAsia" w:ascii="Arial" w:hAnsi="Arial" w:eastAsia="等线" w:cs="Arial"/>
          <w:b/>
          <w:color w:val="245BDB"/>
          <w:sz w:val="22"/>
          <w:lang w:val="en-US" w:eastAsia="zh-CN"/>
        </w:rPr>
        <w:t>发布《关于15款App和16款SDK个人信息收集使用问题的通报》</w:t>
      </w:r>
    </w:p>
    <w:p w14:paraId="05A83157">
      <w:pPr>
        <w:widowControl w:val="0"/>
        <w:spacing w:before="120" w:after="120" w:line="288" w:lineRule="auto"/>
        <w:jc w:val="left"/>
        <w:rPr>
          <w:rFonts w:hint="eastAsia" w:ascii="Arial" w:hAnsi="Arial" w:eastAsia="等线" w:cs="Arial"/>
          <w:sz w:val="22"/>
          <w:szCs w:val="22"/>
        </w:rPr>
      </w:pPr>
    </w:p>
    <w:p w14:paraId="482E3AFD">
      <w:pPr>
        <w:spacing w:before="120" w:after="120" w:line="288" w:lineRule="auto"/>
        <w:ind w:left="0" w:firstLine="440" w:firstLineChars="200"/>
        <w:jc w:val="left"/>
        <w:rPr>
          <w:rFonts w:hint="eastAsia" w:ascii="Arial" w:hAnsi="Arial" w:eastAsia="等线" w:cs="Arial"/>
          <w:sz w:val="22"/>
          <w:szCs w:val="22"/>
          <w:highlight w:val="yellow"/>
          <w:lang w:eastAsia="zh-CN"/>
        </w:rPr>
      </w:pPr>
      <w:r>
        <w:rPr>
          <w:rFonts w:hint="eastAsia" w:ascii="Arial" w:hAnsi="Arial" w:eastAsia="等线" w:cs="Arial"/>
          <w:sz w:val="22"/>
          <w:szCs w:val="22"/>
          <w:highlight w:val="none"/>
        </w:rPr>
        <w:t>近日，中央网信办组织对App、SDK收集使用个人信息行为进行检测，</w:t>
      </w:r>
      <w:r>
        <w:rPr>
          <w:rFonts w:hint="eastAsia" w:ascii="Arial" w:hAnsi="Arial" w:eastAsia="等线" w:cs="Arial"/>
          <w:sz w:val="22"/>
          <w:szCs w:val="22"/>
          <w:highlight w:val="none"/>
          <w:lang w:val="en-US" w:eastAsia="zh-CN"/>
        </w:rPr>
        <w:t>并</w:t>
      </w:r>
      <w:r>
        <w:rPr>
          <w:rFonts w:hint="eastAsia" w:ascii="Arial" w:hAnsi="Arial" w:eastAsia="等线" w:cs="Arial"/>
          <w:sz w:val="22"/>
          <w:szCs w:val="22"/>
          <w:highlight w:val="none"/>
        </w:rPr>
        <w:t>对有关问题予以通报</w:t>
      </w:r>
      <w:r>
        <w:rPr>
          <w:rFonts w:hint="eastAsia" w:ascii="Arial" w:hAnsi="Arial" w:eastAsia="等线" w:cs="Arial"/>
          <w:sz w:val="22"/>
          <w:szCs w:val="22"/>
          <w:highlight w:val="none"/>
          <w:lang w:eastAsia="zh-CN"/>
        </w:rPr>
        <w:t>：</w:t>
      </w:r>
      <w:r>
        <w:rPr>
          <w:rFonts w:hint="eastAsia" w:ascii="Arial" w:hAnsi="Arial" w:eastAsia="等线" w:cs="Arial"/>
          <w:sz w:val="22"/>
          <w:szCs w:val="22"/>
          <w:highlight w:val="none"/>
        </w:rPr>
        <w:t>墨迹天气tv版、医家等15款App存在未逐一列出收集使用个人信息的SDK，未准确列出SDK收集使用个人信息的目的、方式、范围等问题</w:t>
      </w:r>
      <w:r>
        <w:rPr>
          <w:rFonts w:hint="eastAsia" w:ascii="Arial" w:hAnsi="Arial" w:eastAsia="等线" w:cs="Arial"/>
          <w:sz w:val="22"/>
          <w:szCs w:val="22"/>
          <w:highlight w:val="none"/>
          <w:lang w:eastAsia="zh-CN"/>
        </w:rPr>
        <w:t>；CTP穿透采集、金仕达穿透采集等16款SDK收集使用个人信息，存在未提供个人信息收集使用规则，未说明自行或协助App响应用户个人信息权利请求的措施，未及时响应用户个人信息投诉举报等权利请求等问题。《</w:t>
      </w:r>
      <w:r>
        <w:rPr>
          <w:rFonts w:hint="eastAsia" w:ascii="Arial" w:hAnsi="Arial" w:eastAsia="等线" w:cs="Arial"/>
          <w:sz w:val="22"/>
          <w:szCs w:val="22"/>
          <w:highlight w:val="none"/>
          <w:lang w:val="en-US" w:eastAsia="zh-CN"/>
        </w:rPr>
        <w:t>通报》中要求</w:t>
      </w:r>
      <w:r>
        <w:rPr>
          <w:rFonts w:hint="eastAsia" w:ascii="Arial" w:hAnsi="Arial" w:eastAsia="等线" w:cs="Arial"/>
          <w:sz w:val="22"/>
          <w:szCs w:val="22"/>
          <w:highlight w:val="none"/>
          <w:lang w:eastAsia="zh-CN"/>
        </w:rPr>
        <w:t>相关App和SDK运营者应当于通报发布之日起的15个工作日内完成整改，</w:t>
      </w:r>
      <w:r>
        <w:rPr>
          <w:rFonts w:hint="eastAsia" w:ascii="Arial" w:hAnsi="Arial" w:eastAsia="等线" w:cs="Arial"/>
          <w:sz w:val="22"/>
          <w:szCs w:val="22"/>
          <w:highlight w:val="none"/>
          <w:lang w:val="en-US" w:eastAsia="zh-CN"/>
        </w:rPr>
        <w:t>中央网信办</w:t>
      </w:r>
      <w:r>
        <w:rPr>
          <w:rFonts w:hint="eastAsia" w:ascii="Arial" w:hAnsi="Arial" w:eastAsia="等线" w:cs="Arial"/>
          <w:sz w:val="22"/>
          <w:szCs w:val="22"/>
          <w:highlight w:val="none"/>
          <w:lang w:eastAsia="zh-CN"/>
        </w:rPr>
        <w:t>将会同有关部门进行核查，并结合整改情况依法依规开展处置处罚。</w:t>
      </w:r>
    </w:p>
    <w:p w14:paraId="4E7227A8">
      <w:pPr>
        <w:spacing w:before="120" w:after="120" w:line="288" w:lineRule="auto"/>
        <w:ind w:left="0" w:firstLine="440" w:firstLineChars="200"/>
        <w:jc w:val="left"/>
        <w:rPr>
          <w:rFonts w:hint="eastAsia" w:ascii="Arial" w:hAnsi="Arial" w:eastAsia="等线" w:cs="Arial"/>
          <w:sz w:val="22"/>
          <w:szCs w:val="22"/>
          <w:lang w:val="en-US" w:eastAsia="zh-CN"/>
        </w:rPr>
      </w:pPr>
    </w:p>
    <w:p w14:paraId="266E3522">
      <w:pPr>
        <w:spacing w:before="120" w:after="120" w:line="288" w:lineRule="auto"/>
        <w:ind w:left="0"/>
        <w:jc w:val="left"/>
        <w:rPr>
          <w:rFonts w:hint="default"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eastAsia="zh-CN"/>
        </w:rPr>
        <w:t>中央网络安全和信息化委员会办公室 中华人民共和国国家互联网信息办公室</w:t>
      </w:r>
    </w:p>
    <w:p w14:paraId="129C5DCE">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"https://www.cac.gov.cn/2025-05/06/c_1748239411359045.htm"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https://www.cac.gov.cn/2025-05/06/c_1748239411359045.htm</w:t>
      </w:r>
      <w:r>
        <w:rPr>
          <w:rFonts w:hint="eastAsia" w:ascii="Arial" w:hAnsi="Arial" w:eastAsia="等线" w:cs="Arial"/>
          <w:color w:val="3370FF"/>
          <w:sz w:val="22"/>
          <w:u w:val="single"/>
        </w:rPr>
        <w:fldChar w:fldCharType="end"/>
      </w:r>
    </w:p>
    <w:p w14:paraId="3472A054">
      <w:pPr>
        <w:spacing w:before="120" w:after="120" w:line="288" w:lineRule="auto"/>
        <w:ind w:left="0"/>
        <w:jc w:val="left"/>
        <w:rPr>
          <w:rFonts w:hint="eastAsia" w:ascii="Arial" w:hAnsi="Arial" w:eastAsia="等线" w:cs="Arial"/>
          <w:color w:val="3370FF"/>
          <w:sz w:val="22"/>
          <w:u w:val="single"/>
        </w:rPr>
      </w:pPr>
    </w:p>
    <w:p w14:paraId="7A0025F7">
      <w:pPr>
        <w:widowControl w:val="0"/>
        <w:spacing w:before="120" w:after="120" w:line="288" w:lineRule="auto"/>
        <w:jc w:val="left"/>
        <w:rPr>
          <w:rFonts w:hint="eastAsia" w:ascii="Arial" w:hAnsi="Arial" w:eastAsia="等线" w:cs="Arial"/>
          <w:b/>
          <w:color w:val="245BDB"/>
          <w:sz w:val="22"/>
          <w:lang w:val="en-US" w:eastAsia="zh-CN"/>
        </w:rPr>
      </w:pPr>
      <w:r>
        <w:rPr>
          <w:rFonts w:hint="eastAsia" w:ascii="Arial" w:hAnsi="Arial" w:eastAsia="等线" w:cs="Arial"/>
          <w:b/>
          <w:color w:val="245BDB"/>
          <w:sz w:val="22"/>
        </w:rPr>
        <w:t>[</w:t>
      </w:r>
      <w:r>
        <w:rPr>
          <w:rFonts w:hint="eastAsia" w:ascii="Arial" w:hAnsi="Arial" w:eastAsia="等线" w:cs="Arial"/>
          <w:b/>
          <w:color w:val="245BDB"/>
          <w:sz w:val="22"/>
          <w:lang w:val="en-US" w:eastAsia="zh-CN"/>
        </w:rPr>
        <w:t>数据网络</w:t>
      </w:r>
      <w:r>
        <w:rPr>
          <w:rFonts w:hint="eastAsia" w:ascii="Arial" w:hAnsi="Arial" w:eastAsia="等线" w:cs="Arial"/>
          <w:b/>
          <w:color w:val="245BDB"/>
          <w:sz w:val="22"/>
        </w:rPr>
        <w:t xml:space="preserve">] </w:t>
      </w:r>
      <w:r>
        <w:rPr>
          <w:rFonts w:hint="eastAsia" w:ascii="Arial" w:hAnsi="Arial" w:eastAsia="等线" w:cs="Arial"/>
          <w:b/>
          <w:color w:val="245BDB"/>
          <w:sz w:val="22"/>
          <w:lang w:val="en-US" w:eastAsia="zh-CN"/>
        </w:rPr>
        <w:t>数据出境安全管理政策问答（2025年5月）</w:t>
      </w:r>
    </w:p>
    <w:p w14:paraId="66D84011">
      <w:pPr>
        <w:widowControl w:val="0"/>
        <w:spacing w:before="120" w:after="120" w:line="288" w:lineRule="auto"/>
        <w:jc w:val="left"/>
        <w:rPr>
          <w:rFonts w:hint="eastAsia" w:ascii="Arial" w:hAnsi="Arial" w:eastAsia="等线" w:cs="Arial"/>
          <w:b/>
          <w:color w:val="245BDB"/>
          <w:sz w:val="22"/>
          <w:lang w:val="en-US" w:eastAsia="zh-CN"/>
        </w:rPr>
      </w:pPr>
    </w:p>
    <w:p w14:paraId="04A12858">
      <w:pPr>
        <w:spacing w:before="120" w:after="120" w:line="288" w:lineRule="auto"/>
        <w:ind w:left="0" w:firstLine="440" w:firstLineChars="200"/>
        <w:jc w:val="left"/>
        <w:rPr>
          <w:rFonts w:hint="eastAsia" w:ascii="Arial" w:hAnsi="Arial" w:eastAsia="等线" w:cs="Arial"/>
          <w:sz w:val="22"/>
          <w:szCs w:val="22"/>
          <w:highlight w:val="none"/>
          <w:lang w:val="en-US" w:eastAsia="zh-CN"/>
        </w:rPr>
      </w:pPr>
      <w:r>
        <w:rPr>
          <w:rFonts w:hint="eastAsia" w:ascii="Arial" w:hAnsi="Arial" w:eastAsia="等线" w:cs="Arial"/>
          <w:sz w:val="22"/>
          <w:szCs w:val="22"/>
          <w:highlight w:val="none"/>
          <w:lang w:val="en-US" w:eastAsia="zh-CN"/>
        </w:rPr>
        <w:t>国家互联网信息办公室持续加强数据出境安全管理政策宣贯，指导和帮助数据处理者高效合规开展数据出境活动，并针对两个主要问题进行了解答：针对“识别申报重要数据的具体流程”</w:t>
      </w:r>
      <w:r>
        <w:rPr>
          <w:rFonts w:hint="eastAsia" w:ascii="Arial" w:hAnsi="Arial" w:eastAsia="等线" w:cs="Arial"/>
          <w:sz w:val="22"/>
          <w:szCs w:val="22"/>
          <w:highlight w:val="none"/>
          <w:lang w:val="en-US" w:eastAsia="zh-CN"/>
        </w:rPr>
        <w:t>，</w:t>
      </w:r>
      <w:r>
        <w:rPr>
          <w:rFonts w:hint="eastAsia" w:ascii="Arial" w:hAnsi="Arial" w:eastAsia="等线" w:cs="Arial"/>
          <w:sz w:val="22"/>
          <w:szCs w:val="22"/>
          <w:highlight w:val="none"/>
          <w:lang w:val="en-US" w:eastAsia="zh-CN"/>
        </w:rPr>
        <w:t>网信办指出《数据安全法》第二十一条和《网络数据安全管理条例》第二十九条要求国家和网络数据处理者识别并保护重要数据。各地区和部门需制定数据目录并重点保护这些数据。目前，相关部门正在制定数据分类分级标准和重要数据识别申报规则，以指导数据处理者进行识别和申报工作。一旦数据被认定为重要，数据处理者必须遵守相关法律法规，确保数据安全。若未有明确的分类分级标准和识别申报规则，数据处理者未识别申报重要数据，且未对数据进行重点保护，不会因此受到行政处罚。针对“如何合规开展重要数据出境活动”，网信办指出，依据《网络安全法》《数据安全法</w:t>
      </w:r>
      <w:bookmarkStart w:id="0" w:name="_GoBack"/>
      <w:r>
        <w:rPr>
          <w:rFonts w:hint="eastAsia" w:ascii="Arial" w:hAnsi="Arial" w:eastAsia="等线" w:cs="Arial"/>
          <w:sz w:val="22"/>
          <w:szCs w:val="22"/>
          <w:highlight w:val="none"/>
          <w:lang w:val="en-US" w:eastAsia="zh-CN"/>
        </w:rPr>
        <w:t>》《</w:t>
      </w:r>
      <w:bookmarkEnd w:id="0"/>
      <w:r>
        <w:rPr>
          <w:rFonts w:hint="eastAsia" w:ascii="Arial" w:hAnsi="Arial" w:eastAsia="等线" w:cs="Arial"/>
          <w:sz w:val="22"/>
          <w:szCs w:val="22"/>
          <w:highlight w:val="none"/>
          <w:lang w:val="en-US" w:eastAsia="zh-CN"/>
        </w:rPr>
        <w:t>网络数据安全管理条例》及相关规定，数据处理者若需将境内收集的重要数据向境外提供，必须通过国家网信部门组织的数据出境安全评估。具体申报流程可参考《数据出境安全评估申报指南》。只有在评估后确认不会危害国家安全和社会公共利益的情况下，数据方可出境。数据处理者应识别并申报重要数据，若未被认定为重要数据，则无需申报评估。一旦数据被认定为重要数据，数据处理者需在2个月内申报评估，并根据评估结果合规进行数据出境活动，确保数据安全。</w:t>
      </w:r>
    </w:p>
    <w:p w14:paraId="1BFF21D4">
      <w:pPr>
        <w:spacing w:before="120" w:after="120" w:line="288" w:lineRule="auto"/>
        <w:ind w:left="0" w:firstLine="440" w:firstLineChars="200"/>
        <w:jc w:val="left"/>
        <w:rPr>
          <w:rFonts w:hint="eastAsia" w:ascii="Arial" w:hAnsi="Arial" w:eastAsia="等线" w:cs="Arial"/>
          <w:sz w:val="22"/>
          <w:szCs w:val="22"/>
          <w:lang w:val="en-US" w:eastAsia="zh-CN"/>
        </w:rPr>
      </w:pPr>
    </w:p>
    <w:p w14:paraId="59B53718">
      <w:pPr>
        <w:spacing w:before="120" w:after="120" w:line="288" w:lineRule="auto"/>
        <w:ind w:left="0"/>
        <w:jc w:val="left"/>
        <w:rPr>
          <w:rFonts w:hint="eastAsia" w:ascii="Arial" w:hAnsi="Arial" w:eastAsia="等线" w:cs="Arial"/>
          <w:b w:val="0"/>
          <w:bCs/>
          <w:sz w:val="22"/>
          <w:lang w:val="en-US" w:eastAsia="zh-CN"/>
        </w:rPr>
      </w:pPr>
      <w:r>
        <w:rPr>
          <w:rFonts w:hint="eastAsia" w:ascii="Arial" w:hAnsi="Arial" w:eastAsia="等线" w:cs="Arial"/>
          <w:b/>
          <w:sz w:val="22"/>
        </w:rPr>
        <w:t>来源：</w:t>
      </w:r>
      <w:r>
        <w:rPr>
          <w:rFonts w:hint="eastAsia" w:ascii="Arial" w:hAnsi="Arial" w:eastAsia="等线" w:cs="Arial"/>
          <w:b w:val="0"/>
          <w:bCs/>
          <w:sz w:val="22"/>
          <w:lang w:val="en-US" w:eastAsia="zh-CN"/>
        </w:rPr>
        <w:t>中央网络安全和信息化委员会办公室 中华人民共和国国家互联网信息办公室</w:t>
      </w:r>
    </w:p>
    <w:p w14:paraId="7DB1AFFC">
      <w:pPr>
        <w:spacing w:before="120" w:after="120" w:line="288" w:lineRule="auto"/>
        <w:ind w:left="0"/>
        <w:jc w:val="left"/>
        <w:rPr>
          <w:rFonts w:hint="eastAsia" w:ascii="Arial" w:hAnsi="Arial" w:eastAsia="等线" w:cs="Arial"/>
          <w:color w:val="3370FF"/>
          <w:sz w:val="22"/>
          <w:u w:val="single"/>
        </w:rPr>
      </w:pPr>
      <w:r>
        <w:rPr>
          <w:rFonts w:hint="eastAsia" w:ascii="Arial" w:hAnsi="Arial" w:eastAsia="等线" w:cs="Arial"/>
          <w:b w:val="0"/>
          <w:bCs/>
          <w:sz w:val="22"/>
          <w:lang w:val="en-US" w:eastAsia="zh-CN"/>
        </w:rPr>
        <w:t> </w:t>
      </w:r>
      <w:r>
        <w:rPr>
          <w:rFonts w:hint="eastAsia" w:ascii="Arial" w:hAnsi="Arial" w:eastAsia="等线" w:cs="Arial"/>
          <w:color w:val="3370FF"/>
          <w:sz w:val="22"/>
          <w:u w:val="single"/>
        </w:rPr>
        <w:fldChar w:fldCharType="begin"/>
      </w:r>
      <w:r>
        <w:rPr>
          <w:rFonts w:hint="eastAsia" w:ascii="Arial" w:hAnsi="Arial" w:eastAsia="等线" w:cs="Arial"/>
          <w:color w:val="3370FF"/>
          <w:sz w:val="22"/>
          <w:u w:val="single"/>
        </w:rPr>
        <w:instrText xml:space="preserve"> HYPERLINK "https://www.cac.gov.cn/2025-05/30/c_1750315283722063.htm" </w:instrText>
      </w:r>
      <w:r>
        <w:rPr>
          <w:rFonts w:hint="eastAsia" w:ascii="Arial" w:hAnsi="Arial" w:eastAsia="等线" w:cs="Arial"/>
          <w:color w:val="3370FF"/>
          <w:sz w:val="22"/>
          <w:u w:val="single"/>
        </w:rPr>
        <w:fldChar w:fldCharType="separate"/>
      </w:r>
      <w:r>
        <w:rPr>
          <w:rStyle w:val="8"/>
          <w:rFonts w:hint="eastAsia" w:ascii="Arial" w:hAnsi="Arial" w:eastAsia="等线" w:cs="Arial"/>
          <w:sz w:val="22"/>
        </w:rPr>
        <w:t>https://www.cac.gov.cn/2025-05/30/c_1750315283722063.htm</w:t>
      </w:r>
      <w:r>
        <w:rPr>
          <w:rFonts w:hint="eastAsia" w:ascii="Arial" w:hAnsi="Arial" w:eastAsia="等线" w:cs="Arial"/>
          <w:color w:val="3370FF"/>
          <w:sz w:val="22"/>
          <w:u w:val="single"/>
        </w:rPr>
        <w:fldChar w:fldCharType="end"/>
      </w:r>
    </w:p>
    <w:p w14:paraId="2E6C77CC">
      <w:pPr>
        <w:spacing w:before="120" w:after="120" w:line="288" w:lineRule="auto"/>
        <w:ind w:left="0"/>
        <w:jc w:val="left"/>
        <w:rPr>
          <w:rFonts w:hint="eastAsia" w:ascii="Arial" w:hAnsi="Arial" w:eastAsia="等线" w:cs="Arial"/>
          <w:color w:val="3370FF"/>
          <w:sz w:val="22"/>
          <w:u w:val="single"/>
        </w:rPr>
      </w:pPr>
    </w:p>
    <w:p w14:paraId="500C0928">
      <w:pPr>
        <w:spacing w:before="120" w:after="120" w:line="288" w:lineRule="auto"/>
        <w:ind w:left="0"/>
        <w:jc w:val="left"/>
        <w:rPr>
          <w:rFonts w:hint="eastAsia" w:ascii="Arial" w:hAnsi="Arial" w:eastAsia="等线" w:cs="Arial"/>
          <w:color w:val="3370FF"/>
          <w:sz w:val="22"/>
          <w:u w:val="single"/>
        </w:rPr>
      </w:pPr>
    </w:p>
    <w:p w14:paraId="5344597D">
      <w:pPr>
        <w:spacing w:before="120" w:after="120" w:line="288" w:lineRule="auto"/>
        <w:ind w:left="0"/>
        <w:jc w:val="left"/>
        <w:rPr>
          <w:rFonts w:hint="eastAsia" w:ascii="Arial" w:hAnsi="Arial" w:eastAsia="等线" w:cs="Arial"/>
          <w:color w:val="3370FF"/>
          <w:sz w:val="22"/>
          <w:u w:val="single"/>
        </w:rPr>
      </w:pPr>
    </w:p>
    <w:p w14:paraId="4BD695A0">
      <w:pPr>
        <w:spacing w:before="120" w:after="120" w:line="288" w:lineRule="auto"/>
        <w:ind w:left="0"/>
        <w:jc w:val="left"/>
        <w:rPr>
          <w:rFonts w:hint="eastAsia" w:ascii="Arial" w:hAnsi="Arial" w:eastAsia="等线" w:cs="Arial"/>
          <w:color w:val="3370FF"/>
          <w:sz w:val="22"/>
          <w:u w:val="single"/>
        </w:rPr>
      </w:pPr>
    </w:p>
    <w:p w14:paraId="7FC94183">
      <w:pPr>
        <w:spacing w:before="120" w:after="120" w:line="288" w:lineRule="auto"/>
        <w:ind w:left="0"/>
        <w:jc w:val="left"/>
        <w:rPr>
          <w:rFonts w:hint="eastAsia" w:ascii="Arial" w:hAnsi="Arial" w:eastAsia="等线" w:cs="Arial"/>
          <w:color w:val="3370FF"/>
          <w:sz w:val="22"/>
          <w:u w:val="single"/>
        </w:rPr>
      </w:pPr>
    </w:p>
    <w:p w14:paraId="4EDA4E61">
      <w:pPr>
        <w:spacing w:before="120" w:after="120" w:line="288" w:lineRule="auto"/>
        <w:ind w:left="0"/>
        <w:jc w:val="left"/>
        <w:rPr>
          <w:rFonts w:hint="eastAsia" w:ascii="Arial" w:hAnsi="Arial" w:eastAsia="等线" w:cs="Arial"/>
          <w:color w:val="3370FF"/>
          <w:sz w:val="22"/>
          <w:u w:val="single"/>
        </w:rPr>
      </w:pPr>
    </w:p>
    <w:p w14:paraId="4CC6C296">
      <w:pPr>
        <w:spacing w:before="120" w:after="120" w:line="288" w:lineRule="auto"/>
        <w:ind w:left="0"/>
        <w:jc w:val="left"/>
        <w:rPr>
          <w:rFonts w:hint="eastAsia" w:ascii="Arial" w:hAnsi="Arial" w:eastAsia="等线" w:cs="Arial"/>
          <w:color w:val="3370FF"/>
          <w:sz w:val="22"/>
          <w:u w:val="single"/>
        </w:rPr>
      </w:pPr>
    </w:p>
    <w:p w14:paraId="6BFC9C2A">
      <w:pPr>
        <w:spacing w:before="120" w:after="120" w:line="288" w:lineRule="auto"/>
        <w:ind w:left="0"/>
        <w:jc w:val="left"/>
        <w:rPr>
          <w:rFonts w:ascii="Arial" w:hAnsi="Arial" w:eastAsia="等线" w:cs="Arial"/>
          <w:sz w:val="22"/>
        </w:rPr>
      </w:pPr>
      <w:r>
        <w:rPr>
          <w:rFonts w:ascii="Arial" w:hAnsi="Arial" w:eastAsia="等线" w:cs="Arial"/>
          <w:sz w:val="22"/>
        </w:rPr>
        <w:t>阅读《数字经济法律服务月刊》知识库，</w:t>
      </w:r>
      <w:r>
        <w:fldChar w:fldCharType="begin"/>
      </w:r>
      <w:r>
        <w:instrText xml:space="preserve"> HYPERLINK "https://iwg405p5yoq.feishu.cn/wiki/Bx5lwTE1CicUi7k6rv9c3qYin3q?from=from_copylink" \h </w:instrText>
      </w:r>
      <w:r>
        <w:fldChar w:fldCharType="separate"/>
      </w:r>
      <w:r>
        <w:rPr>
          <w:rFonts w:ascii="Arial" w:hAnsi="Arial" w:eastAsia="等线" w:cs="Arial"/>
          <w:color w:val="3370FF"/>
          <w:sz w:val="22"/>
          <w:u w:val="single"/>
        </w:rPr>
        <w:t>请点击本链接</w:t>
      </w:r>
      <w:r>
        <w:rPr>
          <w:rFonts w:ascii="Arial" w:hAnsi="Arial" w:eastAsia="等线" w:cs="Arial"/>
          <w:color w:val="3370FF"/>
          <w:sz w:val="22"/>
          <w:u w:val="single"/>
        </w:rPr>
        <w:fldChar w:fldCharType="end"/>
      </w:r>
      <w:r>
        <w:rPr>
          <w:rFonts w:ascii="Arial" w:hAnsi="Arial" w:eastAsia="等线" w:cs="Arial"/>
          <w:sz w:val="22"/>
        </w:rPr>
        <w:t>，或扫一扫下方二维码。</w:t>
      </w:r>
    </w:p>
    <w:p w14:paraId="64FB4861">
      <w:pPr>
        <w:spacing w:before="120" w:after="120" w:line="288" w:lineRule="auto"/>
        <w:ind w:left="0"/>
        <w:jc w:val="left"/>
        <w:rPr>
          <w:rFonts w:ascii="Arial" w:hAnsi="Arial" w:eastAsia="等线" w:cs="Arial"/>
          <w:sz w:val="22"/>
        </w:rPr>
      </w:pPr>
    </w:p>
    <w:p w14:paraId="198F1DE1">
      <w:pPr>
        <w:jc w:val="center"/>
        <w:rPr>
          <w:rFonts w:hint="eastAsia" w:eastAsia="宋体"/>
          <w:lang w:eastAsia="zh-CN"/>
        </w:rPr>
      </w:pPr>
      <w:r>
        <w:rPr>
          <w:rFonts w:hint="eastAsia" w:eastAsia="宋体"/>
          <w:lang w:eastAsia="zh-CN"/>
        </w:rPr>
        <w:drawing>
          <wp:inline distT="0" distB="0" distL="114300" distR="114300">
            <wp:extent cx="1714500" cy="1714500"/>
            <wp:effectExtent l="0" t="0" r="7620" b="7620"/>
            <wp:docPr id="3" name="图片 3"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二维码"/>
                    <pic:cNvPicPr>
                      <a:picLocks noChangeAspect="1"/>
                    </pic:cNvPicPr>
                  </pic:nvPicPr>
                  <pic:blipFill>
                    <a:blip r:embed="rId6"/>
                    <a:stretch>
                      <a:fillRect/>
                    </a:stretch>
                  </pic:blipFill>
                  <pic:spPr>
                    <a:xfrm>
                      <a:off x="0" y="0"/>
                      <a:ext cx="1714500" cy="1714500"/>
                    </a:xfrm>
                    <a:prstGeom prst="rect">
                      <a:avLst/>
                    </a:prstGeom>
                  </pic:spPr>
                </pic:pic>
              </a:graphicData>
            </a:graphic>
          </wp:inline>
        </w:drawing>
      </w:r>
    </w:p>
    <w:p w14:paraId="6BC18A5A">
      <w:r>
        <w:rPr>
          <w:rFonts w:ascii="宋体" w:hAnsi="宋体" w:eastAsia="宋体" w:cs="宋体"/>
          <w:sz w:val="24"/>
          <w:szCs w:val="24"/>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14:paraId="63BED47C"/>
    <w:p w14:paraId="23823A88"/>
    <w:p w14:paraId="3369DA32"/>
    <w:p w14:paraId="707BF316"/>
    <w:p w14:paraId="5297320B"/>
    <w:p w14:paraId="50A53EB0"/>
    <w:p w14:paraId="5942862C"/>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PingFangSC-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ingFang SC">
    <w:altName w:val="ksdb"/>
    <w:panose1 w:val="00000000000000000000"/>
    <w:charset w:val="00"/>
    <w:family w:val="auto"/>
    <w:pitch w:val="default"/>
    <w:sig w:usb0="00000000" w:usb1="00000000" w:usb2="00000000" w:usb3="00000000" w:csb0="00000000" w:csb1="00000000"/>
  </w:font>
  <w:font w:name="Noto Sans SC">
    <w:panose1 w:val="020B0200000000000000"/>
    <w:charset w:val="86"/>
    <w:family w:val="auto"/>
    <w:pitch w:val="default"/>
    <w:sig w:usb0="20000083" w:usb1="2ADF3C10" w:usb2="00000016" w:usb3="00000000" w:csb0="60060107" w:csb1="00000000"/>
  </w:font>
  <w:font w:name="Helvetica">
    <w:panose1 w:val="020B0504020202030204"/>
    <w:charset w:val="00"/>
    <w:family w:val="auto"/>
    <w:pitch w:val="default"/>
    <w:sig w:usb0="00000007" w:usb1="00000000" w:usb2="00000000" w:usb3="00000000" w:csb0="00000093"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8DF3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C41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85010"/>
    <w:rsid w:val="392E47B3"/>
    <w:rsid w:val="46B53D11"/>
    <w:rsid w:val="789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NUL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2025-06-20T10:58:00Z</dcterms:created>
  <dc:creator>BL</dc:creator>
  <cp:lastModifiedBy>BL</cp:lastModifiedBy>
  <dcterms:modified xsi:type="dcterms:W3CDTF">2025-06-23T01:30:07Z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AEEAB398A67149CCB818FD0818ACD548_11</vt:lpwstr>
  </property>
  <property fmtid="{D5CDD505-2E9C-101B-9397-08002B2CF9AE}" pid="4" name="KSOTemplateDocerSaveRecord">
    <vt:lpwstr>eyJoZGlkIjoiYjM2NTA2NTM0ZDQxMjY2MTEwNmY0N2VkZDQ4ZGZhMDIiLCJ1c2VySWQiOiIyNDE2MjM5MDIifQ==</vt:lpwstr>
  </property>
</Properties>
</file>