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30F6B">
      <w:pPr>
        <w:pStyle w:val="2"/>
        <w:keepNext/>
        <w:keepLines/>
        <w:pageBreakBefore w:val="0"/>
        <w:widowControl w:val="0"/>
        <w:kinsoku/>
        <w:wordWrap/>
        <w:overflowPunct/>
        <w:topLinePunct w:val="0"/>
        <w:autoSpaceDE/>
        <w:autoSpaceDN/>
        <w:bidi w:val="0"/>
        <w:adjustRightInd/>
        <w:snapToGrid/>
        <w:spacing w:line="579" w:lineRule="auto"/>
        <w:ind w:firstLine="0" w:firstLineChars="0"/>
        <w:jc w:val="center"/>
        <w:textAlignment w:val="auto"/>
        <w:rPr>
          <w:rFonts w:hint="default" w:ascii="宋体" w:hAnsi="宋体" w:eastAsia="宋体" w:cs="宋体"/>
          <w:lang w:val="en-US"/>
        </w:rPr>
      </w:pPr>
      <w:bookmarkStart w:id="0" w:name="_Toc126"/>
      <w:bookmarkStart w:id="1" w:name="_Toc30266"/>
      <w:bookmarkStart w:id="2" w:name="_Toc13313"/>
      <w:bookmarkStart w:id="3" w:name="_Toc23732"/>
      <w:bookmarkStart w:id="4" w:name="_Toc18638"/>
      <w:r>
        <w:rPr>
          <w:rFonts w:hint="eastAsia" w:ascii="宋体" w:hAnsi="宋体" w:eastAsia="宋体" w:cs="宋体"/>
          <w:lang w:val="en-US" w:eastAsia="zh-CN"/>
        </w:rPr>
        <w:t>国际商事仲裁中临时措施的管辖权研究</w:t>
      </w:r>
    </w:p>
    <w:p w14:paraId="344ECD5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562" w:firstLineChars="200"/>
        <w:jc w:val="both"/>
        <w:textAlignment w:val="auto"/>
        <w:outlineLvl w:val="0"/>
        <w:rPr>
          <w:rFonts w:hint="eastAsia" w:ascii="仿宋" w:hAnsi="仿宋" w:eastAsia="仿宋" w:cs="仿宋"/>
          <w:sz w:val="28"/>
          <w:szCs w:val="28"/>
          <w:lang w:val="en-US" w:eastAsia="zh-CN"/>
        </w:rPr>
      </w:pPr>
      <w:r>
        <w:rPr>
          <w:rFonts w:hint="eastAsia" w:ascii="仿宋" w:hAnsi="仿宋" w:eastAsia="仿宋" w:cs="仿宋"/>
          <w:b/>
          <w:bCs w:val="0"/>
          <w:i w:val="0"/>
          <w:sz w:val="28"/>
          <w:szCs w:val="28"/>
        </w:rPr>
        <w:t>摘要</w:t>
      </w:r>
      <w:bookmarkEnd w:id="0"/>
      <w:bookmarkEnd w:id="1"/>
      <w:bookmarkEnd w:id="2"/>
      <w:bookmarkEnd w:id="3"/>
      <w:bookmarkEnd w:id="4"/>
      <w:r>
        <w:rPr>
          <w:rFonts w:hint="eastAsia" w:ascii="仿宋" w:hAnsi="仿宋" w:eastAsia="仿宋" w:cs="仿宋"/>
          <w:b/>
          <w:bCs w:val="0"/>
          <w:i w:val="0"/>
          <w:sz w:val="28"/>
          <w:szCs w:val="28"/>
          <w:lang w:eastAsia="zh-CN"/>
        </w:rPr>
        <w:t>：</w:t>
      </w:r>
      <w:r>
        <w:rPr>
          <w:rFonts w:hint="eastAsia" w:ascii="仿宋" w:hAnsi="仿宋" w:eastAsia="仿宋" w:cs="仿宋"/>
          <w:sz w:val="28"/>
          <w:szCs w:val="28"/>
          <w:lang w:val="en-US" w:eastAsia="zh-CN"/>
        </w:rPr>
        <w:t>国际商事仲裁作为一种解决国际商事纠纷的方式，其最重要的特点是意思自治和灵活性。然而，在涉及财产、行为、证据保全等方面，公权力的介入是不可避免的。因此，如何在国际商事仲裁中有效发布临时措施成了一个亟须解决的问题，但我国长期以来临时措施都是由法院专属发布的权力。2021年我国《仲裁法》修订之际，《仲裁法（修订意见稿）》对临时措施制度进行了大量的修改，其中首次允许仲裁庭发布临时措施。同时，临时仲裁也将在我国具有合法性。因此，本文将结合国际商事仲裁的特点分析临时措施管辖权分配立法模式，通过对几个大陆法与普通法国家的</w:t>
      </w:r>
      <w:r>
        <w:rPr>
          <w:rFonts w:hint="eastAsia" w:ascii="仿宋" w:hAnsi="仿宋" w:eastAsia="仿宋" w:cs="仿宋"/>
          <w:sz w:val="28"/>
          <w:szCs w:val="28"/>
          <w:highlight w:val="none"/>
          <w:lang w:val="en-US" w:eastAsia="zh-CN"/>
        </w:rPr>
        <w:t>仲裁法规则</w:t>
      </w:r>
      <w:r>
        <w:rPr>
          <w:rFonts w:hint="eastAsia" w:ascii="仿宋" w:hAnsi="仿宋" w:eastAsia="仿宋" w:cs="仿宋"/>
          <w:sz w:val="28"/>
          <w:szCs w:val="28"/>
          <w:lang w:val="en-US" w:eastAsia="zh-CN"/>
        </w:rPr>
        <w:t>进行比较，分析各个模式的优缺点，并探讨符合中国立场和实际的立法模式。本文认为，在临时措施管辖权立法模式上，应该将《仲裁法（修订意见稿）》规定的“自由选择”模式上对规则进一步细化，从而向“法院辅助”模式转变。</w:t>
      </w:r>
    </w:p>
    <w:p w14:paraId="2615C117">
      <w:pPr>
        <w:ind w:firstLine="530" w:firstLineChars="200"/>
        <w:rPr>
          <w:rFonts w:hint="eastAsia" w:ascii="Times New Roman" w:eastAsia="宋体"/>
          <w:sz w:val="24"/>
          <w:lang w:val="en-US" w:eastAsia="zh-CN"/>
        </w:rPr>
      </w:pPr>
      <w:r>
        <w:rPr>
          <w:rFonts w:hint="eastAsia" w:ascii="仿宋" w:hAnsi="仿宋" w:eastAsia="仿宋" w:cs="仿宋"/>
          <w:b/>
          <w:bCs/>
          <w:spacing w:val="-8"/>
          <w:sz w:val="28"/>
          <w:szCs w:val="28"/>
        </w:rPr>
        <w:t>关键词：</w:t>
      </w:r>
      <w:r>
        <w:rPr>
          <w:rFonts w:hint="eastAsia" w:ascii="仿宋" w:hAnsi="仿宋" w:eastAsia="仿宋" w:cs="仿宋"/>
          <w:b/>
          <w:bCs/>
          <w:spacing w:val="-8"/>
          <w:sz w:val="28"/>
          <w:szCs w:val="28"/>
          <w:lang w:val="en-US" w:eastAsia="zh-CN"/>
        </w:rPr>
        <w:t>临时措施;国际商事仲裁;</w:t>
      </w:r>
      <w:r>
        <w:rPr>
          <w:rFonts w:hint="eastAsia" w:ascii="仿宋" w:hAnsi="仿宋" w:eastAsia="仿宋" w:cs="仿宋"/>
          <w:b/>
          <w:bCs/>
          <w:spacing w:val="-8"/>
          <w:sz w:val="28"/>
          <w:szCs w:val="28"/>
        </w:rPr>
        <w:t>《仲裁法》修订</w:t>
      </w:r>
      <w:r>
        <w:rPr>
          <w:rFonts w:hint="eastAsia" w:ascii="仿宋" w:hAnsi="仿宋" w:eastAsia="仿宋" w:cs="仿宋"/>
          <w:b/>
          <w:bCs/>
          <w:spacing w:val="-8"/>
          <w:sz w:val="28"/>
          <w:szCs w:val="28"/>
          <w:lang w:val="en-US" w:eastAsia="zh-CN"/>
        </w:rPr>
        <w:t>;</w:t>
      </w:r>
    </w:p>
    <w:p w14:paraId="6A161534">
      <w:pPr>
        <w:sectPr>
          <w:headerReference r:id="rId4" w:type="default"/>
          <w:pgSz w:w="11906" w:h="16838"/>
          <w:pgMar w:top="1440" w:right="1800" w:bottom="1440" w:left="1800" w:header="851" w:footer="992" w:gutter="0"/>
          <w:cols w:space="425" w:num="1"/>
          <w:docGrid w:type="lines" w:linePitch="312" w:charSpace="0"/>
        </w:sectPr>
      </w:pPr>
    </w:p>
    <w:p w14:paraId="101E8FD9">
      <w:pPr>
        <w:pStyle w:val="4"/>
        <w:bidi w:val="0"/>
        <w:jc w:val="center"/>
        <w:rPr>
          <w:rFonts w:hint="eastAsia" w:ascii="仿宋" w:hAnsi="仿宋" w:eastAsia="仿宋" w:cs="仿宋"/>
          <w:sz w:val="28"/>
          <w:szCs w:val="28"/>
        </w:rPr>
      </w:pPr>
      <w:bookmarkStart w:id="5" w:name="_Toc31629"/>
      <w:bookmarkStart w:id="6" w:name="_Toc3841"/>
      <w:bookmarkStart w:id="7" w:name="_Toc20444"/>
      <w:r>
        <w:rPr>
          <w:rFonts w:hint="eastAsia" w:ascii="仿宋" w:hAnsi="仿宋" w:eastAsia="仿宋" w:cs="仿宋"/>
          <w:sz w:val="28"/>
          <w:szCs w:val="28"/>
        </w:rPr>
        <w:t>一、</w:t>
      </w:r>
      <w:r>
        <w:rPr>
          <w:rFonts w:hint="eastAsia" w:ascii="仿宋" w:hAnsi="仿宋" w:eastAsia="仿宋" w:cs="仿宋"/>
          <w:sz w:val="28"/>
          <w:szCs w:val="28"/>
          <w:lang w:val="en-US" w:eastAsia="zh-CN"/>
        </w:rPr>
        <w:t>临时措施的界定</w:t>
      </w:r>
      <w:bookmarkEnd w:id="5"/>
      <w:bookmarkEnd w:id="6"/>
      <w:bookmarkEnd w:id="7"/>
    </w:p>
    <w:p w14:paraId="08E338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国际上，临时措施的命名还没有达到统一标准，而在中国的《民事诉讼法》和《仲裁法》中，它被称作“保全措施”。《联合国国际商事仲裁示范法》（以下简称《示范法》）、美国仲裁协会的《仲裁规则》、澳大利亚《国际商事仲裁法》第17J条均将其定义为临时性的保全措施（Interim measures of protection）；《国际商会仲裁规则》将其定义为“暂时性或保护性措施”（conservatory or provisional remedies）；英国的《1996年仲裁法》将其命名为“临时裁决”（provisional award）、“命令”（orders）或是“强制性命令”（peremptory orders）。此外，还有专家或国家的法律将其称为“中间措施”（Interim measures）、“初步措施”（preliminary measures）、“临时性禁令措施”（preliminary injunctive measures）等。虽然这些术语在仲裁实践中经常交替使用，但它们在意义上仍存在差异。以“Interim  measures”为例，它强调措施的暂时性质，不会影响仲裁庭在后续实质性问题和判决中的决策。综合考虑，笔者认为使用“临时措施”这一表述更具有总结性和合理性。值得注意的是，《中华人民共和国仲裁法（ 修订）（ 征求意见稿） 》（ 简称《仲裁法（征求意见稿）》）充分吸收了《示范法》的规定，增设了“临时措施”一节，并改变以往的“保全措施”的称呼为“临时措施”。</w:t>
      </w:r>
    </w:p>
    <w:p w14:paraId="79BDA0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如同临时措施的名称一样并没有统一的含义，但一般通过列举其宗旨或具体措施来揭示其内涵。</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0"/>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例如，欧洲法院指出，所有临时保护的目的在于实现法律制度的一个基本目标——确保司法保护的有效性，阻止产生可能的损失以及对现有权利的损害。</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1"/>
      </w:r>
      <w:r>
        <w:rPr>
          <w:rStyle w:val="19"/>
          <w:rFonts w:hint="eastAsia" w:ascii="仿宋" w:hAnsi="仿宋" w:eastAsia="仿宋" w:cs="仿宋"/>
          <w:sz w:val="28"/>
          <w:szCs w:val="28"/>
          <w:lang w:val="en-US" w:eastAsia="zh-CN"/>
        </w:rPr>
        <w:t>]</w:t>
      </w:r>
      <w:r>
        <w:rPr>
          <w:rFonts w:hint="eastAsia" w:ascii="仿宋" w:hAnsi="仿宋" w:eastAsia="仿宋" w:cs="仿宋"/>
          <w:sz w:val="28"/>
          <w:szCs w:val="28"/>
        </w:rPr>
        <w:t>盖瑞.B.本</w:t>
      </w:r>
      <w:r>
        <w:rPr>
          <w:rFonts w:hint="eastAsia" w:ascii="仿宋" w:hAnsi="仿宋" w:eastAsia="仿宋" w:cs="仿宋"/>
          <w:sz w:val="28"/>
          <w:szCs w:val="28"/>
          <w:lang w:eastAsia="zh-CN"/>
        </w:rPr>
        <w:t>（</w:t>
      </w:r>
      <w:r>
        <w:rPr>
          <w:rFonts w:hint="eastAsia" w:ascii="仿宋" w:hAnsi="仿宋" w:eastAsia="仿宋" w:cs="仿宋"/>
          <w:sz w:val="28"/>
          <w:szCs w:val="28"/>
        </w:rPr>
        <w:t>Gary B. Born</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认为，临时措施是一种保护措施，用于保护在最终裁决作出前的过程中双方当事人的权利以及财产。同时能避免因程序问题对最终裁决的影响。</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2"/>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2006年《示范法》将临时措施界定为一种短暂措施，并分为行为保全措施、财产保全措施、证据保全措施。我国学者杨良宜将临时措施定义为：“仲裁没有到最终裁决前，一切指令用以协助或保护当事双方，使争议能够得到公正解决，都可被视为中间措施。”</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3"/>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我国《仲裁法》将临时措施限于财产和证据保全两种。《仲裁法（征求意见稿）》）学习了《示范法》的做法，扩大了临时措施的种类，进一步纳入了行为保全。</w:t>
      </w:r>
    </w:p>
    <w:p w14:paraId="18DA58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本文对临时措施的定义为：“为支持仲裁程序顺利进行或保证将来仲裁裁决有效执行而设的，通常在仲裁程序启动前或进行中，法院或仲裁庭在根据一方当事人申请而发布的暂时性紧急措施。”</w:t>
      </w:r>
      <w:bookmarkStart w:id="8" w:name="_Toc13659"/>
      <w:bookmarkStart w:id="9" w:name="_Toc12634"/>
      <w:r>
        <w:rPr>
          <w:rFonts w:hint="eastAsia" w:ascii="仿宋" w:hAnsi="仿宋" w:eastAsia="仿宋" w:cs="仿宋"/>
          <w:sz w:val="28"/>
          <w:szCs w:val="28"/>
          <w:lang w:val="en-US" w:eastAsia="zh-CN"/>
        </w:rPr>
        <w:t>二、中国有关国际商事临时措施立法及仲裁规则现状</w:t>
      </w:r>
      <w:bookmarkEnd w:id="8"/>
      <w:bookmarkEnd w:id="9"/>
    </w:p>
    <w:p w14:paraId="1F95E97F">
      <w:pPr>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我国商事仲裁立法偏向保守，法院专属发布临时性措施的模式在沿用了很长时间。我国民事诉讼法、仲裁法都明确赋予法院采取临时措施的权力，仲裁庭发布临时性措施的权力往往是不具备的。</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4"/>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由此导致我国相关的仲裁规则以及《仲裁法（征求意见稿）》都受到掣肘，近年来，我国较新的仲裁规则也只是允许仲裁庭发布临时措施，但是对于之后的一系列问题则没有进一步的规定。</w:t>
      </w:r>
    </w:p>
    <w:p w14:paraId="13230E9B">
      <w:pPr>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目前我国关于仲裁临时措施的立法主要体现在《民事诉讼法》第104-108条、279条以及《仲裁法》第28条、第46条和第68条。</w:t>
      </w:r>
    </w:p>
    <w:p w14:paraId="03526816">
      <w:pPr>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中《民事诉讼法》第279条要求我国涉外仲裁机构应当将当事人的申请提交被申请人住所地或者财产所在地的中级人民法院裁定。《仲裁法》为了与民事诉讼法的相关规定保持一致，其68条也要求涉外仲裁委员会应当事人的申请提交证据所在地的中级人民法院。</w:t>
      </w:r>
    </w:p>
    <w:p w14:paraId="264E749F">
      <w:pPr>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此后，作为我国代表性的中国国际经济贸易仲裁委员会仲裁规则为了与民事诉讼法和仲裁法的上述规定保持一致，都将仲裁委员会作为“转交”作用的规则保留了下来。</w:t>
      </w:r>
    </w:p>
    <w:p w14:paraId="0B3CCC8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仲裁法（征求意见稿）》以及2014年《上海自贸区仲裁规则》、中国海事仲裁委员会《临时仲裁规则》等规则在吸收了UNCITRAL以及国际知名仲裁机构的仲裁规则的相关内容后，采纳了仲裁庭与法院皆有权发布临时措施的双轨制。虽然它们无法像部门法那样普遍适用，但不可否认的是它们在一定程度上突破了我国长期以来的法院专属模式。</w:t>
      </w:r>
    </w:p>
    <w:p w14:paraId="23C6064E">
      <w:pPr>
        <w:pStyle w:val="4"/>
        <w:keepNext/>
        <w:keepLines/>
        <w:pageBreakBefore w:val="0"/>
        <w:widowControl w:val="0"/>
        <w:kinsoku/>
        <w:wordWrap/>
        <w:overflowPunct/>
        <w:topLinePunct w:val="0"/>
        <w:autoSpaceDE/>
        <w:autoSpaceDN/>
        <w:bidi w:val="0"/>
        <w:adjustRightInd/>
        <w:snapToGrid/>
        <w:spacing w:line="413" w:lineRule="auto"/>
        <w:jc w:val="center"/>
        <w:textAlignment w:val="auto"/>
        <w:rPr>
          <w:rFonts w:hint="eastAsia" w:ascii="仿宋" w:hAnsi="仿宋" w:eastAsia="仿宋" w:cs="仿宋"/>
          <w:sz w:val="28"/>
          <w:szCs w:val="28"/>
          <w:lang w:val="en-US" w:eastAsia="zh-CN"/>
        </w:rPr>
      </w:pPr>
      <w:bookmarkStart w:id="10" w:name="_Toc29174"/>
      <w:bookmarkStart w:id="11" w:name="_Toc10312"/>
      <w:bookmarkStart w:id="12" w:name="_Toc3697"/>
      <w:r>
        <w:rPr>
          <w:rFonts w:hint="eastAsia" w:ascii="仿宋" w:hAnsi="仿宋" w:eastAsia="仿宋" w:cs="仿宋"/>
          <w:sz w:val="28"/>
          <w:szCs w:val="28"/>
          <w:lang w:val="en-US" w:eastAsia="zh-CN"/>
        </w:rPr>
        <w:t>三、</w:t>
      </w:r>
      <w:bookmarkEnd w:id="10"/>
      <w:r>
        <w:rPr>
          <w:rFonts w:hint="eastAsia" w:ascii="仿宋" w:hAnsi="仿宋" w:eastAsia="仿宋" w:cs="仿宋"/>
          <w:sz w:val="28"/>
          <w:szCs w:val="28"/>
          <w:lang w:val="en-US" w:eastAsia="zh-CN"/>
        </w:rPr>
        <w:t>中国有关国际商事临时措施的立法仲裁规则的缺陷</w:t>
      </w:r>
      <w:bookmarkEnd w:id="11"/>
      <w:bookmarkEnd w:id="12"/>
    </w:p>
    <w:p w14:paraId="7CC6C17C">
      <w:pPr>
        <w:pStyle w:val="5"/>
        <w:numPr>
          <w:ilvl w:val="0"/>
          <w:numId w:val="0"/>
        </w:numPr>
        <w:bidi w:val="0"/>
        <w:ind w:left="0" w:leftChars="0" w:firstLine="482" w:firstLineChars="200"/>
        <w:rPr>
          <w:rFonts w:hint="eastAsia" w:ascii="仿宋" w:hAnsi="仿宋" w:eastAsia="仿宋" w:cs="仿宋"/>
          <w:sz w:val="28"/>
          <w:szCs w:val="28"/>
          <w:lang w:val="en-US" w:eastAsia="zh-CN"/>
        </w:rPr>
      </w:pPr>
      <w:bookmarkStart w:id="13" w:name="_Toc15478"/>
      <w:r>
        <w:rPr>
          <w:rFonts w:hint="eastAsia" w:ascii="仿宋" w:hAnsi="仿宋" w:eastAsia="仿宋" w:cs="仿宋"/>
          <w:b/>
          <w:bCs/>
          <w:kern w:val="2"/>
          <w:sz w:val="24"/>
          <w:szCs w:val="24"/>
          <w:lang w:val="en-US" w:eastAsia="zh-CN" w:bidi="ar-SA"/>
        </w:rPr>
        <w:t>（一）</w:t>
      </w:r>
      <w:r>
        <w:rPr>
          <w:rFonts w:hint="eastAsia" w:ascii="仿宋" w:hAnsi="仿宋" w:eastAsia="仿宋" w:cs="仿宋"/>
          <w:sz w:val="28"/>
          <w:szCs w:val="28"/>
          <w:lang w:val="en-US" w:eastAsia="zh-CN"/>
        </w:rPr>
        <w:t>仲裁庭与其他机构的权力分配未明确</w:t>
      </w:r>
      <w:bookmarkEnd w:id="13"/>
    </w:p>
    <w:p w14:paraId="63BB7574">
      <w:pPr>
        <w:pStyle w:val="5"/>
        <w:keepNext/>
        <w:keepLines/>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sz w:val="28"/>
          <w:szCs w:val="28"/>
          <w:lang w:val="en-US" w:eastAsia="zh-CN"/>
        </w:rPr>
      </w:pPr>
      <w:bookmarkStart w:id="14" w:name="_Toc9720"/>
      <w:r>
        <w:rPr>
          <w:rFonts w:hint="default" w:ascii="仿宋" w:hAnsi="仿宋" w:eastAsia="仿宋" w:cs="仿宋"/>
          <w:b w:val="0"/>
          <w:bCs/>
          <w:kern w:val="2"/>
          <w:sz w:val="28"/>
          <w:szCs w:val="28"/>
          <w:lang w:val="en-US" w:eastAsia="zh-CN" w:bidi="ar-SA"/>
        </w:rPr>
        <w:t>1.</w:t>
      </w:r>
      <w:r>
        <w:rPr>
          <w:rFonts w:hint="eastAsia" w:ascii="仿宋" w:hAnsi="仿宋" w:eastAsia="仿宋" w:cs="仿宋"/>
          <w:b w:val="0"/>
          <w:bCs/>
          <w:sz w:val="28"/>
          <w:szCs w:val="28"/>
          <w:lang w:val="en-US" w:eastAsia="zh-CN"/>
        </w:rPr>
        <w:t>不同阶段临时措施权力分配缺乏进一步的细化</w:t>
      </w:r>
      <w:bookmarkEnd w:id="14"/>
    </w:p>
    <w:p w14:paraId="6C9C47F1">
      <w:pPr>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仲裁法（征求意见稿）》第43条、第46条、第49条均规定了仲裁庭与法院有权发布临时措施。这意味着我国在临时措施管辖权的立法模式上未来趋向于采用“并存权力”模式。但规则仅仅规定了仲裁庭拥有管辖权，并没有进一步明确法院和仲裁庭之间权力的分配，当事人可以自由选择向谁申请发布临时措施。另外，从《仲裁法（征求意见稿）》中我们可以看出，法院发布临时措施的权力贯穿仲裁的整个过程以及提起仲裁前，那么在仲裁庭组建前请求指定紧急仲裁员是否就变得没有意义了呢？可能还会导致程序的拖沓。</w:t>
      </w:r>
    </w:p>
    <w:p w14:paraId="3D96C228">
      <w:pPr>
        <w:pStyle w:val="5"/>
        <w:keepNext/>
        <w:keepLines/>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sz w:val="28"/>
          <w:szCs w:val="28"/>
          <w:lang w:val="en-US" w:eastAsia="zh-CN"/>
        </w:rPr>
      </w:pPr>
      <w:bookmarkStart w:id="15" w:name="_Toc28796"/>
      <w:r>
        <w:rPr>
          <w:rFonts w:hint="default" w:ascii="仿宋" w:hAnsi="仿宋" w:eastAsia="仿宋" w:cs="仿宋"/>
          <w:b w:val="0"/>
          <w:bCs/>
          <w:kern w:val="2"/>
          <w:sz w:val="28"/>
          <w:szCs w:val="28"/>
          <w:lang w:val="en-US" w:eastAsia="zh-CN" w:bidi="ar-SA"/>
        </w:rPr>
        <w:t>2.</w:t>
      </w:r>
      <w:r>
        <w:rPr>
          <w:rFonts w:hint="eastAsia" w:ascii="仿宋" w:hAnsi="仿宋" w:eastAsia="仿宋" w:cs="仿宋"/>
          <w:b w:val="0"/>
          <w:bCs/>
          <w:sz w:val="28"/>
          <w:szCs w:val="28"/>
          <w:lang w:val="en-US" w:eastAsia="zh-CN"/>
        </w:rPr>
        <w:t>特殊类型的临时措施权力未分配</w:t>
      </w:r>
      <w:bookmarkEnd w:id="15"/>
    </w:p>
    <w:p w14:paraId="68690DBA">
      <w:pPr>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现行的我国仲裁法，临时措施的种类仅限于财产保全和证据保全两类。在海事领域，《中华人民共和国海事诉讼特别程序法》在第四章规定的海事强制令制度则带有行为保全性质。而新修订的《民事诉讼法》，《仲裁法（征求意见稿）》都纳入了行为保全临时措施。《仲裁法（征求意见稿）》第四十三条第二款规定，临时措施包括财产保全、证据保全、行为保全和仲裁庭认为有必要的其他短期措施。这一做法有所进步但还不够，根据该规定，仲裁庭可以发布所有类型的临时措施。如上文所述，当某些涉及到第三人权利或者当事人的宪法基本权利的临时措施，如玛丽亚（Mareva）和Anton Piller禁令。由于仲裁更具民间性与自愿性且协议只针对双方当事人，如果当临时措施不得不涉及第三人的权利以及基本权利的时候，由仲裁庭发布临时措施似乎就失去了正当性。</w:t>
      </w:r>
    </w:p>
    <w:p w14:paraId="0A145532">
      <w:pPr>
        <w:pStyle w:val="5"/>
        <w:keepNext/>
        <w:keepLines/>
        <w:pageBreakBefore w:val="0"/>
        <w:widowControl w:val="0"/>
        <w:numPr>
          <w:ilvl w:val="0"/>
          <w:numId w:val="0"/>
        </w:numPr>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kern w:val="2"/>
          <w:sz w:val="28"/>
          <w:szCs w:val="28"/>
          <w:lang w:val="en-US" w:eastAsia="zh-CN" w:bidi="ar-SA"/>
        </w:rPr>
      </w:pPr>
      <w:bookmarkStart w:id="16" w:name="_Toc13743"/>
      <w:bookmarkStart w:id="17" w:name="_Toc17350"/>
      <w:r>
        <w:rPr>
          <w:rFonts w:hint="default" w:ascii="仿宋" w:hAnsi="仿宋" w:eastAsia="仿宋" w:cs="仿宋"/>
          <w:b w:val="0"/>
          <w:bCs/>
          <w:kern w:val="2"/>
          <w:sz w:val="28"/>
          <w:szCs w:val="28"/>
          <w:lang w:val="en-US" w:eastAsia="zh-CN" w:bidi="ar-SA"/>
        </w:rPr>
        <w:t>3.</w:t>
      </w:r>
      <w:r>
        <w:rPr>
          <w:rFonts w:hint="eastAsia" w:ascii="仿宋" w:hAnsi="仿宋" w:eastAsia="仿宋" w:cs="仿宋"/>
          <w:b w:val="0"/>
          <w:bCs/>
          <w:kern w:val="2"/>
          <w:sz w:val="28"/>
          <w:szCs w:val="28"/>
          <w:lang w:val="en-US" w:eastAsia="zh-CN" w:bidi="ar-SA"/>
        </w:rPr>
        <w:t>指定机构的规定不合理</w:t>
      </w:r>
      <w:bookmarkEnd w:id="16"/>
      <w:bookmarkEnd w:id="17"/>
    </w:p>
    <w:p w14:paraId="0D057CDF">
      <w:pPr>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这方面的问题主要体现在临时仲裁中，临时仲裁由于更加注重当事人的意愿，程序的推进高度依赖双方当事人。若双方在程序推进上未达成共识，临时仲裁可能陷入僵局。因此在临时仲裁程序陷入僵局时，可能需要寻求法院、仲裁机构或专门的服务机构提供法律救济。</w:t>
      </w:r>
    </w:p>
    <w:p w14:paraId="03BD0BDC">
      <w:pPr>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《仲裁法（修订意见稿）》第二十一条只要求仲裁协议“具有请求仲裁的意思表示”，删除了现行《仲裁法》对仲裁协议应当具有“仲裁事项和选定的仲裁委员会”的要求， 此举为国际商事仲裁形式之一的临时仲裁的落地创设了空间。</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5"/>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但是，根据《仲裁法（征求意见稿）》第九十二条的规定，临时仲裁在无法及时组成仲裁庭时当事人可以协议委托仲裁机构协助组庭，当事人达不成委托协议的，由中级人民法院指定仲裁机构。从中我们可以推断，其未强制当事人在订立临时仲裁协议时需要指定一个仲裁机构作为指定机构。而根据第四十九条第二款的规定，当事人申请紧急仲裁员需要通过仲裁机构协助。那么，如果面对一方当事人不配合的情况下，申请临时措施的一方就需要通过中级人民法院先确定指定机构，再通过指定机构申请紧急仲裁员发布临时措施。同时，相关规定并未对时效进行规定，当事人选择仲裁就是为了快速解决争议，而程序的拖沓就使这一目的落空。</w:t>
      </w:r>
      <w:bookmarkStart w:id="18" w:name="_Toc4289"/>
      <w:bookmarkStart w:id="19" w:name="_Toc24023"/>
      <w:bookmarkStart w:id="20" w:name="_Toc5660"/>
    </w:p>
    <w:p w14:paraId="38FCF8FF">
      <w:pPr>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en-US"/>
        </w:rPr>
        <w:t>临时措施</w:t>
      </w:r>
      <w:r>
        <w:rPr>
          <w:rFonts w:hint="eastAsia" w:ascii="仿宋" w:hAnsi="仿宋" w:eastAsia="仿宋" w:cs="仿宋"/>
          <w:b/>
          <w:bCs/>
          <w:sz w:val="28"/>
          <w:szCs w:val="28"/>
          <w:lang w:val="en-US" w:eastAsia="zh-CN"/>
        </w:rPr>
        <w:t>的</w:t>
      </w:r>
      <w:r>
        <w:rPr>
          <w:rFonts w:hint="eastAsia" w:ascii="仿宋" w:hAnsi="仿宋" w:eastAsia="仿宋" w:cs="仿宋"/>
          <w:b/>
          <w:bCs/>
          <w:sz w:val="28"/>
          <w:szCs w:val="28"/>
          <w:lang w:eastAsia="en-US"/>
        </w:rPr>
        <w:t>管辖权分配</w:t>
      </w:r>
      <w:bookmarkEnd w:id="18"/>
      <w:bookmarkEnd w:id="19"/>
      <w:bookmarkEnd w:id="20"/>
    </w:p>
    <w:p w14:paraId="08784C3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临时措施问题本质上是一个程序问题，因此必须适用仲裁所依据的法律。在缺乏另行约定的情况下，仲裁所适用的法律通常是仲裁地法律。然而，在适用临时措施时，还需额外考虑执行地法律的规定。因此，在确定临时措施的管辖权分配时，必须综合考量相关国家国内法、国际公约、仲裁规则的规定以及当事人之间达成的协议。</w:t>
      </w:r>
    </w:p>
    <w:p w14:paraId="0B6CF213">
      <w:pPr>
        <w:pStyle w:val="3"/>
        <w:keepNext/>
        <w:keepLines/>
        <w:pageBreakBefore w:val="0"/>
        <w:widowControl w:val="0"/>
        <w:kinsoku/>
        <w:wordWrap/>
        <w:overflowPunct/>
        <w:topLinePunct w:val="0"/>
        <w:autoSpaceDE/>
        <w:autoSpaceDN/>
        <w:bidi w:val="0"/>
        <w:adjustRightInd/>
        <w:snapToGrid/>
        <w:spacing w:line="416" w:lineRule="auto"/>
        <w:ind w:firstLine="562" w:firstLineChars="200"/>
        <w:textAlignment w:val="auto"/>
        <w:rPr>
          <w:rFonts w:hint="eastAsia" w:ascii="仿宋" w:hAnsi="仿宋" w:eastAsia="仿宋" w:cs="仿宋"/>
          <w:color w:val="auto"/>
          <w:sz w:val="28"/>
          <w:szCs w:val="28"/>
          <w:highlight w:val="none"/>
          <w:lang w:val="en-US" w:eastAsia="zh-CN"/>
        </w:rPr>
      </w:pPr>
      <w:bookmarkStart w:id="21" w:name="_Toc30728"/>
      <w:bookmarkStart w:id="22" w:name="_Toc16579"/>
      <w:bookmarkStart w:id="23" w:name="_Toc30461"/>
      <w:r>
        <w:rPr>
          <w:rFonts w:hint="eastAsia" w:ascii="仿宋" w:hAnsi="仿宋" w:eastAsia="仿宋" w:cs="仿宋"/>
          <w:color w:val="auto"/>
          <w:sz w:val="28"/>
          <w:szCs w:val="28"/>
          <w:highlight w:val="none"/>
          <w:lang w:val="en-US" w:eastAsia="zh-CN"/>
        </w:rPr>
        <w:t>（一）临时措施管辖权分配的立法模式</w:t>
      </w:r>
      <w:bookmarkEnd w:id="21"/>
      <w:bookmarkEnd w:id="22"/>
      <w:bookmarkEnd w:id="23"/>
    </w:p>
    <w:p w14:paraId="078D7F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从历史上看，下令采取临时措施的权力属于法院，而仲裁庭没有下令采取临时措施的权力或权力非常有限。当前各国的立法中，对于发布临时措施的权力分配模式共有三种，分别是“法院专属管辖权”“仲裁庭专属管辖权”以及“并存权力模式”。</w:t>
      </w:r>
    </w:p>
    <w:p w14:paraId="26CC46B3">
      <w:pPr>
        <w:pStyle w:val="4"/>
        <w:keepNext/>
        <w:keepLines/>
        <w:pageBreakBefore w:val="0"/>
        <w:widowControl w:val="0"/>
        <w:kinsoku/>
        <w:wordWrap/>
        <w:overflowPunct/>
        <w:topLinePunct w:val="0"/>
        <w:autoSpaceDE/>
        <w:autoSpaceDN/>
        <w:bidi w:val="0"/>
        <w:adjustRightInd/>
        <w:snapToGrid/>
        <w:spacing w:line="413" w:lineRule="auto"/>
        <w:ind w:firstLine="560" w:firstLineChars="200"/>
        <w:textAlignment w:val="auto"/>
        <w:rPr>
          <w:rFonts w:hint="eastAsia" w:ascii="仿宋" w:hAnsi="仿宋" w:eastAsia="仿宋" w:cs="仿宋"/>
          <w:b w:val="0"/>
          <w:bCs/>
          <w:sz w:val="28"/>
          <w:szCs w:val="28"/>
          <w:lang w:val="en-US" w:eastAsia="zh-CN"/>
        </w:rPr>
      </w:pPr>
      <w:bookmarkStart w:id="24" w:name="_Toc7661"/>
      <w:bookmarkStart w:id="25" w:name="_Toc4118"/>
      <w:bookmarkStart w:id="26" w:name="_Toc22414"/>
      <w:r>
        <w:rPr>
          <w:rFonts w:hint="eastAsia" w:ascii="仿宋" w:hAnsi="仿宋" w:eastAsia="仿宋" w:cs="仿宋"/>
          <w:b w:val="0"/>
          <w:bCs/>
          <w:sz w:val="28"/>
          <w:szCs w:val="28"/>
          <w:lang w:val="en-US" w:eastAsia="zh-CN"/>
        </w:rPr>
        <w:t>1.法院专属管辖权</w:t>
      </w:r>
      <w:bookmarkEnd w:id="24"/>
      <w:bookmarkEnd w:id="25"/>
      <w:bookmarkEnd w:id="26"/>
    </w:p>
    <w:p w14:paraId="022B40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将临时措施的管辖权专属于法院，这是一些早期大陆法系法域采取的做法。</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6"/>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但很少有法域坚持这种模式，而且这种模式似乎与现代仲裁自治的概念不一致。根据这种模式，当事人只能向法院申请发布临时措施，无论是在仲裁程序何种阶段抑或仲裁程序启动前，也不管当事人是否达成了协议赋予了仲裁庭发布临时措施的权力。当前，临时措施管辖权专属于法院的国家已经属于少数，主要包括意大利、希腊、中国等。</w:t>
      </w:r>
    </w:p>
    <w:p w14:paraId="3B73EB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国家将发布临时措施的权力专属地授予法院的原因有多方面。从历史来看，仲裁在早期其发展得不到有效地重视，认为其是法院的附属。为了保护国家的公权力，并在做出最终决定之前维持法院对程序和相关各方的控制，法院被授予对临时措施的专属权力。因此从某种意义上看，我国对临时措施的发布权持有谨慎的态度更多的是一种政治上的选择而非法哲学的逻辑上的选择。此外，从法律实践上看，如果仲裁庭发布的临时措施如果最终也需要由法院强制执行，还不如将此权力归于法院。</w:t>
      </w:r>
    </w:p>
    <w:p w14:paraId="42A10565">
      <w:pPr>
        <w:pStyle w:val="4"/>
        <w:keepNext/>
        <w:keepLines/>
        <w:pageBreakBefore w:val="0"/>
        <w:widowControl w:val="0"/>
        <w:kinsoku/>
        <w:wordWrap/>
        <w:overflowPunct/>
        <w:topLinePunct w:val="0"/>
        <w:autoSpaceDE/>
        <w:autoSpaceDN/>
        <w:bidi w:val="0"/>
        <w:adjustRightInd/>
        <w:snapToGrid/>
        <w:spacing w:line="413" w:lineRule="auto"/>
        <w:ind w:firstLine="560" w:firstLineChars="200"/>
        <w:textAlignment w:val="auto"/>
        <w:rPr>
          <w:rFonts w:hint="eastAsia" w:ascii="仿宋" w:hAnsi="仿宋" w:eastAsia="仿宋" w:cs="仿宋"/>
          <w:b w:val="0"/>
          <w:bCs/>
          <w:sz w:val="28"/>
          <w:szCs w:val="28"/>
          <w:lang w:val="en-US" w:eastAsia="zh-CN"/>
        </w:rPr>
      </w:pPr>
      <w:bookmarkStart w:id="27" w:name="_Toc17292"/>
      <w:bookmarkStart w:id="28" w:name="_Toc1789"/>
      <w:bookmarkStart w:id="29" w:name="_Toc16403"/>
      <w:r>
        <w:rPr>
          <w:rFonts w:hint="eastAsia" w:ascii="仿宋" w:hAnsi="仿宋" w:eastAsia="仿宋" w:cs="仿宋"/>
          <w:b w:val="0"/>
          <w:bCs/>
          <w:sz w:val="28"/>
          <w:szCs w:val="28"/>
          <w:lang w:val="en-US" w:eastAsia="zh-CN"/>
        </w:rPr>
        <w:t>2.仲裁庭专属管辖权</w:t>
      </w:r>
      <w:bookmarkEnd w:id="27"/>
      <w:bookmarkEnd w:id="28"/>
      <w:bookmarkEnd w:id="29"/>
    </w:p>
    <w:p w14:paraId="3E4634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根据这种模式，仲裁庭专属地享有发布临时措施的权力，法院无权发布临时措施。此种模式以“国际投资争端解决中心”（以下简称ICSID）的仲裁规则为代表。</w:t>
      </w:r>
    </w:p>
    <w:p w14:paraId="3F5C5F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那么，在国际商事中当事人之间关于任何一方不得向法院申请临时措施的协议会产生什么效果呢？一般来说，这类合同条款采用了Scott v Avery</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7"/>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仲裁条款的形式，其措辞明确排除 “任何法律程序”。英国法院在若干案件中考虑了这一合同条款的效力。</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8"/>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在B v S案中</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9"/>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，弗劳克斯（Flaux）法官研究了 Mantovani v. Caparelli SpA 之后的一系列案例，最终得出结论认为，从《1950年英国仲裁法》到《1996 年英国仲裁法》在对关键因素处理方法上发生了变化。根据《1950 年法令》第 12（6）条，英国法院的管辖权不能因当事各方的同意而被剥夺，因为该款的措辞被认为是强制性的。然而，1996年《英国仲裁法》第44条开头是：”除非当事人另有约定”。1996年《英国仲裁法》被认为明显倾向于当事人意思自治。因此，法官根据Mantovani诉Caparelli案的判例认定，这种条款可以成功地排除任何当事人向法院申请临时措施。</w:t>
      </w:r>
    </w:p>
    <w:p w14:paraId="6B8F7D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笔者认为，ICSID成立的目的是解决东道国与投资者之间的投资争议而成立的，ICSID的仲裁规则也是为了践行《关于解决国家与他国国民间投资争端公约》的精神而推出的，目的是排除东道国与投资者之间政治性的影响，从而排除缔约国国内法的适用，赋予ICSID仲裁庭在临时措施发布上的专属权力。</w:t>
      </w:r>
    </w:p>
    <w:p w14:paraId="5E8806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虽然存在由仲裁庭专属发布临时措施的实践，但是此种模式尚未有国家在立法中予以规定。同时，此种模式下，仲裁庭获得排他的权力的依据是当事人之间的仲裁协议。对于带有公权力性质的临时措施，能否由当事人之间的仲裁协议调整尚未明确。美国与英国的部分判例也没有成为先例被大多数法院引用。</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10"/>
      </w:r>
      <w:r>
        <w:rPr>
          <w:rStyle w:val="19"/>
          <w:rFonts w:hint="eastAsia" w:ascii="仿宋" w:hAnsi="仿宋" w:eastAsia="仿宋" w:cs="仿宋"/>
          <w:sz w:val="28"/>
          <w:szCs w:val="28"/>
          <w:lang w:val="en-US" w:eastAsia="zh-CN"/>
        </w:rPr>
        <w:t>]</w:t>
      </w:r>
    </w:p>
    <w:p w14:paraId="102BB2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另外，如果由仲裁庭专属发布所有类型的临时措施，那么某些临时措施可能得不到执行。比如，当财产由第三人控制时，仲裁庭发布临时措施冻结了该财产则违背了第三人的意思自治，因为第三人并未赋予仲裁对其具有约束力的意思。同时，仲裁庭具有发布各种类型的临时措施的权力时也对公权力进行了一定程度的挤占，并不符合我国当前的社会发展情况。</w:t>
      </w:r>
    </w:p>
    <w:p w14:paraId="7102D6DE">
      <w:pPr>
        <w:pStyle w:val="4"/>
        <w:keepNext/>
        <w:keepLines/>
        <w:pageBreakBefore w:val="0"/>
        <w:widowControl w:val="0"/>
        <w:kinsoku/>
        <w:wordWrap/>
        <w:overflowPunct/>
        <w:topLinePunct w:val="0"/>
        <w:autoSpaceDE/>
        <w:autoSpaceDN/>
        <w:bidi w:val="0"/>
        <w:adjustRightInd/>
        <w:snapToGrid/>
        <w:spacing w:line="413" w:lineRule="auto"/>
        <w:ind w:firstLine="560" w:firstLineChars="200"/>
        <w:textAlignment w:val="auto"/>
        <w:rPr>
          <w:rFonts w:hint="eastAsia" w:ascii="仿宋" w:hAnsi="仿宋" w:eastAsia="仿宋" w:cs="仿宋"/>
          <w:b w:val="0"/>
          <w:bCs/>
          <w:sz w:val="28"/>
          <w:szCs w:val="28"/>
          <w:lang w:val="en-US" w:eastAsia="zh-CN"/>
        </w:rPr>
      </w:pPr>
      <w:bookmarkStart w:id="30" w:name="_Toc19527"/>
      <w:bookmarkStart w:id="31" w:name="_Toc26915"/>
      <w:bookmarkStart w:id="32" w:name="_Toc15794"/>
      <w:r>
        <w:rPr>
          <w:rFonts w:hint="eastAsia" w:ascii="仿宋" w:hAnsi="仿宋" w:eastAsia="仿宋" w:cs="仿宋"/>
          <w:b w:val="0"/>
          <w:bCs/>
          <w:sz w:val="28"/>
          <w:szCs w:val="28"/>
          <w:lang w:val="en-US" w:eastAsia="zh-CN"/>
        </w:rPr>
        <w:t>3.并存权力模式</w:t>
      </w:r>
      <w:bookmarkEnd w:id="30"/>
      <w:bookmarkEnd w:id="31"/>
      <w:bookmarkEnd w:id="32"/>
    </w:p>
    <w:p w14:paraId="1E8B2A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并存权力模式根据不同的分类标准可以分为以下几种：</w:t>
      </w:r>
    </w:p>
    <w:p w14:paraId="14217A0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种方法以《示范法》为基础、这意味着除非当事人另有约定，仲裁员被赋予可以下令各种临时措施的广泛的权力。根据《示范法》第17条规定：“除非当事人另有约定，仲裁庭可以应一方当事人的请求，命令任何一方就争议标的物采取仲裁庭可能认为必要的临时保护措施……”这种方法意味着仲裁庭和法院的权限划分全部由当事人来决定，最大化尊重了当事人的意愿，也是国际商事仲裁最理想的状态。</w:t>
      </w:r>
    </w:p>
    <w:p w14:paraId="72B2D22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第二种方法根据临时措施的性质和种类赋予仲裁庭和法院分别下令采取特定类型临时措施的权力。其中典型的代表就是英国</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11"/>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它将临时措施划分为具有强制性质的临时措施和非强制性质的临时措施，其中，具有强制性质的措施由法院公布，而非强制性质的则由仲裁庭公布。例如，英国对货物的临时管理或者拍卖在货物属于当事人一方时归为非强制性措施，可以由仲裁庭发布。关于强制性措施与非强制性措施的区分，目前没有明确的标准。但是，从英国的做法可以看出有一个因素可以作为评判标准。即临时措施是否针对非仲裁当事人的第三人作出。如果临时措施针对的不是仲裁协议方，而是第三人，则属于强制性的，需要通过法院的力量。</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12"/>
      </w:r>
      <w:r>
        <w:rPr>
          <w:rStyle w:val="19"/>
          <w:rFonts w:hint="eastAsia" w:ascii="仿宋" w:hAnsi="仿宋" w:eastAsia="仿宋" w:cs="仿宋"/>
          <w:sz w:val="28"/>
          <w:szCs w:val="28"/>
          <w:lang w:val="en-US" w:eastAsia="zh-CN"/>
        </w:rPr>
        <w:t>]</w:t>
      </w:r>
    </w:p>
    <w:p w14:paraId="6152E7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种方法是基于仲裁过程的进展来决定临时措施的权利如何发布。在成立仲裁庭之前，由于缺乏必要的保障，法院有权发布临时措施；但在仲裁庭成立后，发布这些临时措施的权利将由仲裁庭来执行。这种方法在时间顺序上达成了法院与仲裁庭在发布临时措施上的互补，典型的代表是《ICC仲裁规则》。</w:t>
      </w:r>
    </w:p>
    <w:p w14:paraId="1FFADA30">
      <w:pPr>
        <w:pStyle w:val="3"/>
        <w:keepNext/>
        <w:keepLines/>
        <w:pageBreakBefore w:val="0"/>
        <w:widowControl w:val="0"/>
        <w:kinsoku/>
        <w:wordWrap/>
        <w:overflowPunct/>
        <w:topLinePunct w:val="0"/>
        <w:autoSpaceDE/>
        <w:autoSpaceDN/>
        <w:bidi w:val="0"/>
        <w:adjustRightInd/>
        <w:snapToGrid/>
        <w:spacing w:line="416" w:lineRule="auto"/>
        <w:ind w:firstLine="562" w:firstLineChars="200"/>
        <w:textAlignment w:val="auto"/>
        <w:rPr>
          <w:rFonts w:hint="eastAsia" w:ascii="仿宋" w:hAnsi="仿宋" w:eastAsia="仿宋" w:cs="仿宋"/>
          <w:sz w:val="28"/>
          <w:szCs w:val="28"/>
          <w:lang w:val="en-US" w:eastAsia="zh-CN"/>
        </w:rPr>
      </w:pPr>
      <w:bookmarkStart w:id="33" w:name="_Toc2266"/>
      <w:r>
        <w:rPr>
          <w:rFonts w:hint="eastAsia" w:ascii="仿宋" w:hAnsi="仿宋" w:eastAsia="仿宋" w:cs="仿宋"/>
          <w:sz w:val="28"/>
          <w:szCs w:val="28"/>
          <w:lang w:val="en-US" w:eastAsia="zh-CN"/>
        </w:rPr>
        <w:t>（二）支持并存权力制的理由</w:t>
      </w:r>
      <w:bookmarkEnd w:id="33"/>
    </w:p>
    <w:p w14:paraId="5E4BBC9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解决涉外商事争议时，我国如果采用单一权力发布临时措施制度，无论是临时措施的发布权完全专属于法院还是仲裁庭，都不能满足我国国际商事仲裁实践和发展的需要。如果将发布临时措施的权力排他性地赋予法院，这将增加我国的司法压力。同时，由于法院在处理案件时需要遵循公开、透明的原则，这可能损害仲裁当事人对商业秘密的高度保密性的期望。而如果将发布临时措施的权力排他性地赋予仲裁庭，则可能不符合我国特色社会主义法治的监管需求。</w:t>
      </w:r>
    </w:p>
    <w:p w14:paraId="762DCAB2">
      <w:pPr>
        <w:pStyle w:val="4"/>
        <w:keepNext/>
        <w:keepLines/>
        <w:pageBreakBefore w:val="0"/>
        <w:widowControl w:val="0"/>
        <w:kinsoku/>
        <w:wordWrap/>
        <w:overflowPunct/>
        <w:topLinePunct w:val="0"/>
        <w:autoSpaceDE/>
        <w:autoSpaceDN/>
        <w:bidi w:val="0"/>
        <w:adjustRightInd/>
        <w:snapToGrid/>
        <w:spacing w:line="413" w:lineRule="auto"/>
        <w:ind w:firstLine="560" w:firstLineChars="200"/>
        <w:textAlignment w:val="auto"/>
        <w:rPr>
          <w:rFonts w:hint="eastAsia" w:ascii="仿宋" w:hAnsi="仿宋" w:eastAsia="仿宋" w:cs="仿宋"/>
          <w:b w:val="0"/>
          <w:bCs/>
          <w:sz w:val="28"/>
          <w:szCs w:val="28"/>
          <w:lang w:val="en-US" w:eastAsia="zh-CN"/>
        </w:rPr>
      </w:pPr>
      <w:bookmarkStart w:id="34" w:name="_Toc20095"/>
      <w:bookmarkStart w:id="35" w:name="_Toc16060"/>
      <w:r>
        <w:rPr>
          <w:rFonts w:hint="eastAsia" w:ascii="仿宋" w:hAnsi="仿宋" w:eastAsia="仿宋" w:cs="仿宋"/>
          <w:b w:val="0"/>
          <w:bCs/>
          <w:sz w:val="28"/>
          <w:szCs w:val="28"/>
          <w:lang w:val="en-US" w:eastAsia="zh-CN"/>
        </w:rPr>
        <w:t>1.仲裁庭发布临时措施的必要性</w:t>
      </w:r>
      <w:bookmarkEnd w:id="34"/>
      <w:bookmarkEnd w:id="35"/>
    </w:p>
    <w:p w14:paraId="7956EE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由仲裁庭发布临时措施的法律行为已经在大多数国家中得到实践。在国际商事仲裁中授予仲裁庭发布临时措施的理由主要有以下几点：</w:t>
      </w:r>
    </w:p>
    <w:p w14:paraId="3B76D9CB">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因为各当事人已经同意仲裁程序和仲裁庭的授权，这必然意味着他们也已经同意仲裁庭采取措施维持程序完整的权力。从这种逻辑推理出发，如果各当事人已经同意仲裁程序和仲裁庭的授权但明确声明不同意仲裁庭发布临时措施的权力，则应该尊重当事人的意愿</w:t>
      </w:r>
    </w:p>
    <w:p w14:paraId="0AF7628B">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由于国际商事仲裁是为了解决特定国际商事领域的案件，当事人可以选择在此方面有丰富实务经验的专家作为仲裁员，相应地，仲裁庭已经熟悉案情和主题，因此可能比法院更快作出裁决，如果当事人能够直接向仲裁庭提出采取临时措施的请求，则资源将得到更加有效地利用。在实际案例中，英瑞开曼有限公司与如皋市玻璃纤维厂的仲裁案提供了一个明显的例子。2011年8月30日，如皋市玻璃纤维厂向仲裁机构提出了证据保全的申请，然后在2011年9月6日，仲裁机构将该申请转交给有管辖权的人民法院。最终，法院于2012年2月6日作出了关于证据保全的裁定。整个证据保全过程从申请提出到裁定作出，历时四个多月。这不仅增加了一定的司法成本，而且难以实现证据保全的目的，因为在如此长的时间内，证据的性质有可能发生了变化。</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13"/>
      </w:r>
      <w:r>
        <w:rPr>
          <w:rStyle w:val="19"/>
          <w:rFonts w:hint="eastAsia" w:ascii="仿宋" w:hAnsi="仿宋" w:eastAsia="仿宋" w:cs="仿宋"/>
          <w:sz w:val="28"/>
          <w:szCs w:val="28"/>
          <w:lang w:val="en-US" w:eastAsia="zh-CN"/>
        </w:rPr>
        <w:t>]</w:t>
      </w:r>
    </w:p>
    <w:p w14:paraId="1887E6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仲裁庭受缔约方委托，有权解决其争议。国际商事仲裁的协商一致性质通常导致仲裁庭的命令很可能被自愿遵守。例如，美国仲裁协会的一项调查显示，在90%的案件中，当事人遵守了仲裁庭关于临时救济的决定。</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14"/>
      </w:r>
      <w:r>
        <w:rPr>
          <w:rStyle w:val="19"/>
          <w:rFonts w:hint="eastAsia" w:ascii="仿宋" w:hAnsi="仿宋" w:eastAsia="仿宋" w:cs="仿宋"/>
          <w:sz w:val="28"/>
          <w:szCs w:val="28"/>
          <w:lang w:val="en-US" w:eastAsia="zh-CN"/>
        </w:rPr>
        <w:t>]</w:t>
      </w:r>
    </w:p>
    <w:p w14:paraId="3AE904CE">
      <w:pPr>
        <w:pStyle w:val="4"/>
        <w:keepNext/>
        <w:keepLines/>
        <w:pageBreakBefore w:val="0"/>
        <w:widowControl w:val="0"/>
        <w:kinsoku/>
        <w:wordWrap/>
        <w:overflowPunct/>
        <w:topLinePunct w:val="0"/>
        <w:autoSpaceDE/>
        <w:autoSpaceDN/>
        <w:bidi w:val="0"/>
        <w:adjustRightInd/>
        <w:snapToGrid/>
        <w:spacing w:line="413" w:lineRule="auto"/>
        <w:ind w:firstLine="560" w:firstLineChars="200"/>
        <w:textAlignment w:val="auto"/>
        <w:rPr>
          <w:rFonts w:hint="eastAsia" w:ascii="仿宋" w:hAnsi="仿宋" w:eastAsia="仿宋" w:cs="仿宋"/>
          <w:b w:val="0"/>
          <w:bCs/>
          <w:sz w:val="28"/>
          <w:szCs w:val="28"/>
          <w:lang w:val="en-US" w:eastAsia="zh-CN"/>
        </w:rPr>
      </w:pPr>
      <w:bookmarkStart w:id="36" w:name="_Toc13976"/>
      <w:bookmarkStart w:id="37" w:name="_Toc26981"/>
      <w:r>
        <w:rPr>
          <w:rFonts w:hint="eastAsia" w:ascii="仿宋" w:hAnsi="仿宋" w:eastAsia="仿宋" w:cs="仿宋"/>
          <w:b w:val="0"/>
          <w:bCs/>
          <w:sz w:val="28"/>
          <w:szCs w:val="28"/>
          <w:lang w:val="en-US" w:eastAsia="zh-CN"/>
        </w:rPr>
        <w:t>2.仲裁庭权力的局限性</w:t>
      </w:r>
      <w:bookmarkEnd w:id="36"/>
      <w:bookmarkEnd w:id="37"/>
    </w:p>
    <w:p w14:paraId="15F23A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尽管由仲裁庭发布临时措施可以最大化地尊重当事人的意愿，但由于国际商事仲裁的性质及其权力来源，不可避免地存在许多局限性。主要有以下方面：</w:t>
      </w:r>
    </w:p>
    <w:p w14:paraId="581B50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首先因为仲裁是基于双方的协议，双方的共识，因此，在仲裁的过程中肯定会出现涉及第三人财产的情形，当仲裁标的物涉及的财产由银行等第三方控制时，即使在阿拉伯法律制度下，仲裁庭有权发出“传票”，仲裁庭也不能命令第三方做某些事情。</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15"/>
      </w:r>
      <w:r>
        <w:rPr>
          <w:rStyle w:val="19"/>
          <w:rFonts w:hint="eastAsia" w:ascii="仿宋" w:hAnsi="仿宋" w:eastAsia="仿宋" w:cs="仿宋"/>
          <w:sz w:val="28"/>
          <w:szCs w:val="28"/>
          <w:lang w:val="en-US" w:eastAsia="zh-CN"/>
        </w:rPr>
        <w:t>]</w:t>
      </w:r>
    </w:p>
    <w:p w14:paraId="2905A5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其次，重申上述内容，仲裁庭缺乏强制执行权，这意味着仲裁庭的命令不是“自行执行”，</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16"/>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换句话说，仲裁庭不能对不遵守所下令的临时措施的当事人实施制裁。这是因为国际商事仲裁相比国内仲裁更具民间性，尽管实践中仲裁庭的确可以采取一些如对不履行方作出不利推断的措施来强迫一方当事人履行决定，但当事人不配合时程序将会无限期地拖延，因此需要国家力量的介入。</w:t>
      </w:r>
    </w:p>
    <w:p w14:paraId="47A7E4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最后，在仲裁庭组建之前发布临时措施并不现实。虽然，在国际商事仲裁中存在“紧急仲裁员制度”</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17"/>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但是在我国国际商事仲裁对此规定尚处于起步阶段，如何构建有效的紧急仲裁员制度还需要深入研究。同时，在临时仲裁中仲裁机构担任临时仲裁的指定机构，是否有权协助指定紧急仲裁员并发布临时措施也不明确。因此，如果当事人想在仲裁庭组建之前申请临时措施，只能向法院提出这种请求。</w:t>
      </w:r>
    </w:p>
    <w:p w14:paraId="50DE565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因此，本文认为，我国应采用权力并存的模式来解决临时措施发布的问题。这种模式综合考虑了法院和仲裁庭的优势，既可以保证临时措施的有效执行，又可以尊重当事人的意愿，保证商业秘密的保密性。同时，也符合我国特色社会主义法治的监管需求。在采用权力并存模式时，应明确法院和仲裁庭各自的权力和责任，确保两者在临时措施发布和执行过程中的协调配合。</w:t>
      </w:r>
    </w:p>
    <w:p w14:paraId="59950203">
      <w:pPr>
        <w:pStyle w:val="3"/>
        <w:keepNext/>
        <w:keepLines/>
        <w:pageBreakBefore w:val="0"/>
        <w:widowControl w:val="0"/>
        <w:kinsoku/>
        <w:wordWrap/>
        <w:overflowPunct/>
        <w:topLinePunct w:val="0"/>
        <w:autoSpaceDE/>
        <w:autoSpaceDN/>
        <w:bidi w:val="0"/>
        <w:adjustRightInd/>
        <w:snapToGrid/>
        <w:spacing w:line="416" w:lineRule="auto"/>
        <w:ind w:firstLine="562" w:firstLineChars="200"/>
        <w:textAlignment w:val="auto"/>
        <w:rPr>
          <w:rFonts w:hint="eastAsia" w:ascii="仿宋" w:hAnsi="仿宋" w:eastAsia="仿宋" w:cs="仿宋"/>
          <w:sz w:val="28"/>
          <w:szCs w:val="28"/>
          <w:lang w:val="en-US" w:eastAsia="zh-CN"/>
        </w:rPr>
      </w:pPr>
      <w:bookmarkStart w:id="38" w:name="_Toc4311"/>
      <w:bookmarkStart w:id="39" w:name="_Toc31590"/>
      <w:bookmarkStart w:id="40" w:name="_Toc6330"/>
      <w:r>
        <w:rPr>
          <w:rFonts w:hint="eastAsia" w:ascii="仿宋" w:hAnsi="仿宋" w:eastAsia="仿宋" w:cs="仿宋"/>
          <w:sz w:val="28"/>
          <w:szCs w:val="28"/>
          <w:lang w:val="en-US" w:eastAsia="zh-CN"/>
        </w:rPr>
        <w:t>（三） 并存权力模式下仲裁庭与公权力的关系</w:t>
      </w:r>
      <w:bookmarkEnd w:id="38"/>
      <w:bookmarkEnd w:id="39"/>
      <w:bookmarkEnd w:id="40"/>
    </w:p>
    <w:p w14:paraId="428665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采用并存权力模式的基础之上则需要考虑我国公权力机构的关系。具体来说，在法院与仲裁庭都具有发布临时措施权力的情况下，由仲裁庭处于优先发布临时措施地位，还是法院处于优先地位；哪些临时措施只能由法院发布？在仲裁庭与法院权限划分的问题上，《示范法》似乎对这个问题保持沉默。纵观各国立法，主要采用两种方法。第一种方法是“自由选择”模式。第二种方法是“法院辅助”模式。</w:t>
      </w:r>
    </w:p>
    <w:p w14:paraId="722919A6">
      <w:pPr>
        <w:pStyle w:val="4"/>
        <w:keepNext/>
        <w:keepLines/>
        <w:pageBreakBefore w:val="0"/>
        <w:widowControl w:val="0"/>
        <w:kinsoku/>
        <w:wordWrap/>
        <w:overflowPunct/>
        <w:topLinePunct w:val="0"/>
        <w:autoSpaceDE/>
        <w:autoSpaceDN/>
        <w:bidi w:val="0"/>
        <w:adjustRightInd/>
        <w:snapToGrid/>
        <w:spacing w:line="413" w:lineRule="auto"/>
        <w:ind w:firstLine="560" w:firstLineChars="200"/>
        <w:textAlignment w:val="auto"/>
        <w:rPr>
          <w:rFonts w:hint="eastAsia" w:ascii="仿宋" w:hAnsi="仿宋" w:eastAsia="仿宋" w:cs="仿宋"/>
          <w:b w:val="0"/>
          <w:bCs/>
          <w:sz w:val="28"/>
          <w:szCs w:val="28"/>
          <w:lang w:val="en-US" w:eastAsia="zh-CN"/>
        </w:rPr>
      </w:pPr>
      <w:bookmarkStart w:id="41" w:name="_Toc27317"/>
      <w:bookmarkStart w:id="42" w:name="_Toc22258"/>
      <w:bookmarkStart w:id="43" w:name="_Toc12689"/>
      <w:r>
        <w:rPr>
          <w:rFonts w:hint="eastAsia" w:ascii="仿宋" w:hAnsi="仿宋" w:eastAsia="仿宋" w:cs="仿宋"/>
          <w:b w:val="0"/>
          <w:bCs/>
          <w:sz w:val="28"/>
          <w:szCs w:val="28"/>
          <w:lang w:val="en-US" w:eastAsia="zh-CN"/>
        </w:rPr>
        <w:t>1.“自由选择”模式</w:t>
      </w:r>
      <w:bookmarkEnd w:id="41"/>
      <w:bookmarkEnd w:id="42"/>
      <w:bookmarkEnd w:id="43"/>
    </w:p>
    <w:p w14:paraId="1C92D3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在“自由选择”（Free choice）模式下，当事人可以自由地向法院或法庭申请临时措施，法律对任何机构都没有偏向性。这种模式最大化尊重了当事人的意思自治，当事人可以自由选择向哪个机构申请临时措施，更是在协议中约定阻止另一方当事人向法院申请临时措施。</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18"/>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以此为代表的是《示范法》，采用“自由选择”模式的国家大多以示范法为蓝本。</w:t>
      </w:r>
    </w:p>
    <w:p w14:paraId="572436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1985 年《示范法》没有详细说明仲裁庭和法院之间的关系，2006年修订的《示范法》也同样未明确仲裁庭与法院之间的关系。从这个意义上说，《示范法》可以说采取了“自由选择”的模式。迄今为止，大概有40多个国家采纳了《示范法》的做法。不过应当指出，一国在采纳《示范法》的同时可以另行制定超出《示范法》范围的规定，使仲裁制度偏离“自由选择”模式。</w:t>
      </w:r>
    </w:p>
    <w:p w14:paraId="4E59B2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德国《民事诉讼程序法》关于临时措施的权力分配规定主要体现在1033条与1041条。其中，第1033条规定：“在仲裁程序进行前或进行中，当事人一方请求法院采取与仲裁标的物有关的临时措施并且法院准予采取这种措施的，这不与仲裁协议相抵触。”第1041条（1）款规定：“除非当事人各方另有协议，仲裁庭经一方当事人请求，可以发布仲裁庭认为有必要的就争议标的有关的任何临时措施……”。同《示范法》相比，1033条只是将法院发布临时措施的作用范围限定在与仲裁标的物有关上，此举限缩了法院的权力范围，1041条第一款则与《示范法》相同。值得注意的是，1042条第二款规定：如果向法院提出相应的申请，法院则不执行仲裁庭作出的临时措施命令。</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19"/>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有些学者认为，如果向仲裁庭提出的临时措施申请正在审理中，且为了在特定案件中防止偏见的产生，法律要求法院不介入。</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20"/>
      </w:r>
      <w:r>
        <w:rPr>
          <w:rStyle w:val="19"/>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如果采用这种方法，它表明了从“自由选择”模式偏离，转向了“法院辅助”模式，反映了一种支持仲裁的态度。尽管德国法律没有进一步规定仲裁庭与法院发布临时措施的权限范围，但是仲裁庭与法院在发布临时措施的权限上仍有区别，法院可以在仲裁程序进行之前发布临时措施，而仲裁庭发布的临时措施种类可以由当事人约定，法院只能发布德国法所允许的临时措施。</w:t>
      </w:r>
    </w:p>
    <w:p w14:paraId="3986686C">
      <w:pPr>
        <w:pStyle w:val="4"/>
        <w:keepNext/>
        <w:keepLines/>
        <w:pageBreakBefore w:val="0"/>
        <w:widowControl w:val="0"/>
        <w:kinsoku/>
        <w:wordWrap/>
        <w:overflowPunct/>
        <w:topLinePunct w:val="0"/>
        <w:autoSpaceDE/>
        <w:autoSpaceDN/>
        <w:bidi w:val="0"/>
        <w:adjustRightInd/>
        <w:snapToGrid/>
        <w:spacing w:line="413" w:lineRule="auto"/>
        <w:ind w:firstLine="560" w:firstLineChars="200"/>
        <w:textAlignment w:val="auto"/>
        <w:rPr>
          <w:rFonts w:hint="eastAsia" w:ascii="仿宋" w:hAnsi="仿宋" w:eastAsia="仿宋" w:cs="仿宋"/>
          <w:b w:val="0"/>
          <w:bCs/>
          <w:sz w:val="28"/>
          <w:szCs w:val="28"/>
          <w:lang w:val="en-US" w:eastAsia="zh-CN"/>
        </w:rPr>
      </w:pPr>
      <w:bookmarkStart w:id="44" w:name="_Toc21282"/>
      <w:bookmarkStart w:id="45" w:name="_Toc23765"/>
      <w:bookmarkStart w:id="46" w:name="_Toc1153"/>
      <w:r>
        <w:rPr>
          <w:rFonts w:hint="eastAsia" w:ascii="仿宋" w:hAnsi="仿宋" w:eastAsia="仿宋" w:cs="仿宋"/>
          <w:b w:val="0"/>
          <w:bCs/>
          <w:sz w:val="28"/>
          <w:szCs w:val="28"/>
          <w:lang w:val="en-US" w:eastAsia="zh-CN"/>
        </w:rPr>
        <w:t>2.“法院辅助”模式</w:t>
      </w:r>
      <w:bookmarkEnd w:id="44"/>
      <w:bookmarkEnd w:id="45"/>
      <w:bookmarkEnd w:id="46"/>
    </w:p>
    <w:p w14:paraId="6F842B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院辅助”模式是指，条件允许的情况下，当事人应先向仲裁庭申请临时措施，法院在仲裁庭无法有效地发布临时措施的情况下才会介入。这意味着在某些情况下，法院发布临时措施的权力被包含在仲裁庭的权力之下。这种模式可以在尽量保证当事人意思自治的前提下又能维护国家的司法权威。典型的立法代表为英国1996年《英国仲裁法》。</w:t>
      </w:r>
    </w:p>
    <w:p w14:paraId="453A75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《英国仲裁法》第38条及39条规定了仲裁庭的权力，其规定了当事人可以约定仲裁庭发布临时措施的权力和范围，但财产由第三人占有的除外。对于1996年《英国仲裁法》，有几点值得注意：</w:t>
      </w:r>
    </w:p>
    <w:p w14:paraId="108F64E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第一，与《示范法》不同的是，该法第44条允许当事人以“除非当事人另有约定”的措辞明确排除法院颁布临时措施的权力。</w:t>
      </w:r>
    </w:p>
    <w:p w14:paraId="5F8F047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第二，第39（1）条和第39（4）条采取的立场是，虽然仲裁庭有权下令采取临时措施，但默认规则是仲裁庭缺乏此类权力，因此当事人必须明确授予仲裁庭权力。</w:t>
      </w:r>
    </w:p>
    <w:p w14:paraId="4FEB9F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第三，第44（2）条提供了法院可以下令采取临时措施的详尽清单。第39条列举了仲裁庭可以下令采取临时措施的非详尽清单。然而，法院的措施范围似乎比仲裁庭更广；只有法院有权下令单方面Mareva禁令和Anton Pillar 命令，尽管当事人可能试图将此类权力授予仲裁庭。</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21"/>
      </w:r>
      <w:r>
        <w:rPr>
          <w:rStyle w:val="19"/>
          <w:rFonts w:hint="eastAsia" w:ascii="仿宋" w:hAnsi="仿宋" w:eastAsia="仿宋" w:cs="仿宋"/>
          <w:sz w:val="28"/>
          <w:szCs w:val="28"/>
          <w:lang w:val="en-US" w:eastAsia="zh-CN"/>
        </w:rPr>
        <w:t>]</w:t>
      </w:r>
    </w:p>
    <w:p w14:paraId="3E81FA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第四，假设当事人同时向法院和仲裁庭授予权力，则法院的权力从属于仲裁庭。其基本原理是“尽可能将仲裁程序的控制交给仲裁庭。”仲裁庭与法院的辅助关系如下：</w:t>
      </w:r>
    </w:p>
    <w:p w14:paraId="771FC2BB">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在“紧急”案件中，法院可以下令保存诉讼中涉及的证据或资产；</w:t>
      </w:r>
    </w:p>
    <w:p w14:paraId="6C37B70E">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在“非紧急”案件中，法院只能在以下情况下根据当事人的申请采取行动：</w:t>
      </w:r>
    </w:p>
    <w:p w14:paraId="119D0FB9">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该当事人已向其他当事人和仲裁庭发出通知；</w:t>
      </w:r>
    </w:p>
    <w:p w14:paraId="0ADD4FCB">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仲裁庭已同意继续进行或其他当事人已书面同意。</w:t>
      </w:r>
    </w:p>
    <w:p w14:paraId="2271EECC">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果仲裁庭没有权力或当时无法有效采取行动，则法院仅在必要的范围内才有权下令采取临时措施。如果法院在这种情况下下令采取临时措施，当仲裁庭能够作出相关决定时，这些由法院发布的命令将全部或部分失效。</w:t>
      </w:r>
    </w:p>
    <w:p w14:paraId="45EC8CB2">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即使仲裁地不在法院管辖范围内，法院也有权采取临时措施。但是，这取决于法院认为仲裁庭行使临时措施是否“不适当”。罗伯特·默金（Robert Merkin）对此认为，“不适当”取决于两个因素：（1） 是否选择英国法作为程序法；以及是否寻求帮助的唯一希望在于英国法院； (2) 即使仲裁与英国没有任何关系，是否在英国存在需要保留的证据，或者一方当事人在管辖范围内拥有可以通过 Mareva 禁令冻结的资产。</w:t>
      </w:r>
      <w:r>
        <w:rPr>
          <w:rStyle w:val="19"/>
          <w:rFonts w:hint="eastAsia" w:ascii="仿宋" w:hAnsi="仿宋" w:eastAsia="仿宋" w:cs="仿宋"/>
          <w:sz w:val="28"/>
          <w:szCs w:val="28"/>
          <w:lang w:val="en-US" w:eastAsia="zh-CN"/>
        </w:rPr>
        <w:t>[</w:t>
      </w:r>
      <w:r>
        <w:rPr>
          <w:rStyle w:val="19"/>
          <w:rFonts w:hint="eastAsia" w:ascii="仿宋" w:hAnsi="仿宋" w:eastAsia="仿宋" w:cs="仿宋"/>
          <w:sz w:val="28"/>
          <w:szCs w:val="28"/>
          <w:lang w:val="en-US" w:eastAsia="zh-CN"/>
        </w:rPr>
        <w:endnoteReference w:id="22"/>
      </w:r>
      <w:r>
        <w:rPr>
          <w:rStyle w:val="19"/>
          <w:rFonts w:hint="eastAsia" w:ascii="仿宋" w:hAnsi="仿宋" w:eastAsia="仿宋" w:cs="仿宋"/>
          <w:sz w:val="28"/>
          <w:szCs w:val="28"/>
          <w:lang w:val="en-US" w:eastAsia="zh-CN"/>
        </w:rPr>
        <w:t>]</w:t>
      </w:r>
    </w:p>
    <w:p w14:paraId="2A6CDF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英国的仲裁法在吸收了《示范法》“自由选择”模式上开创了“法院辅助”模式的先河，通过对法院的发布临时措施的权力进行限制，让仲裁庭的权力处于优先地位，法院与仲裁庭的权力范围环环相扣，不可谓不精妙。除了英国之外，还有一些国家也采用了“法院辅助”模式，比如，法国在仲裁庭组建之前如果有紧急情况下可以应当事人的请求由法院发布临时措施。或者在仲裁组建后，法院仅在个别情况对仲裁庭发布临时措施上提供协助。此外，还有美国、荷兰、香港等国家和地区采取“法院辅助”模式。</w:t>
      </w:r>
    </w:p>
    <w:p w14:paraId="26152B70">
      <w:pPr>
        <w:pStyle w:val="4"/>
        <w:keepNext/>
        <w:keepLines/>
        <w:pageBreakBefore w:val="0"/>
        <w:widowControl w:val="0"/>
        <w:kinsoku/>
        <w:wordWrap/>
        <w:overflowPunct/>
        <w:topLinePunct w:val="0"/>
        <w:autoSpaceDE/>
        <w:autoSpaceDN/>
        <w:bidi w:val="0"/>
        <w:adjustRightInd/>
        <w:snapToGrid/>
        <w:spacing w:line="413" w:lineRule="auto"/>
        <w:ind w:firstLine="560" w:firstLineChars="200"/>
        <w:textAlignment w:val="auto"/>
        <w:rPr>
          <w:rFonts w:hint="eastAsia" w:ascii="仿宋" w:hAnsi="仿宋" w:eastAsia="仿宋" w:cs="仿宋"/>
          <w:b w:val="0"/>
          <w:bCs/>
          <w:sz w:val="28"/>
          <w:szCs w:val="28"/>
          <w:lang w:val="en-US" w:eastAsia="zh-CN"/>
        </w:rPr>
      </w:pPr>
      <w:bookmarkStart w:id="47" w:name="_Toc14562"/>
      <w:r>
        <w:rPr>
          <w:rFonts w:hint="eastAsia" w:ascii="仿宋" w:hAnsi="仿宋" w:eastAsia="仿宋" w:cs="仿宋"/>
          <w:b w:val="0"/>
          <w:bCs/>
          <w:sz w:val="28"/>
          <w:szCs w:val="28"/>
          <w:lang w:val="en-US" w:eastAsia="zh-CN"/>
        </w:rPr>
        <w:t>3.支持“法院辅助”模式的理由</w:t>
      </w:r>
      <w:bookmarkEnd w:id="47"/>
    </w:p>
    <w:p w14:paraId="2C0F28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首先，“法院辅助”模式符合仲裁的性质。对于仲裁的性质，占据主流的通说认为仲裁兼具契约性和准司法性并且契约性占主导地位。“法院辅助”模式恰好符合了仲裁性质上的要求，既尊重当事人的意愿又让法院有限地介入以解决仲裁庭权力来源的局限性导致的问题。</w:t>
      </w:r>
    </w:p>
    <w:p w14:paraId="38A845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其次，“法院辅助”模式与我国国际商事仲裁的发展趋势相吻合。由近年来各个仲裁机构相继发布的仲裁新规以及</w:t>
      </w:r>
      <w:r>
        <w:rPr>
          <w:rFonts w:hint="eastAsia" w:ascii="仿宋" w:hAnsi="仿宋" w:eastAsia="仿宋" w:cs="仿宋"/>
          <w:sz w:val="28"/>
          <w:szCs w:val="28"/>
        </w:rPr>
        <w:t>《仲裁法（征求意见稿）》</w:t>
      </w:r>
      <w:r>
        <w:rPr>
          <w:rFonts w:hint="eastAsia" w:ascii="仿宋" w:hAnsi="仿宋" w:eastAsia="仿宋" w:cs="仿宋"/>
          <w:sz w:val="28"/>
          <w:szCs w:val="28"/>
          <w:lang w:val="en-US" w:eastAsia="zh-CN"/>
        </w:rPr>
        <w:t>允许仲裁庭发布临时措施可知，我国国际商事仲裁发展的趋势是尽可能地减少公权力对仲裁庭的干预，尽量地扩大仲裁庭的权力范围，彰显了新时代下仲裁自治性与法院支持仲裁的理念。</w:t>
      </w:r>
    </w:p>
    <w:p w14:paraId="331EA9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后，“自由选择”模式存在着一系列的弊端。第一，“自由选择”模式容易造成仲裁僵局，一般来说，由于当事人希望尽快发布临时措施，他们会同时向仲裁庭或法院申请采取临时措施。如果一个机构允许发布临时措施，而另一个机构不允许发布临时措施，如立法上没有进一步衔接上的规定则会出现程序的僵局，给实践带来困难。第二，“自由选择”模式易造成当事人权利的滥用。当申请仲裁当事人认为仲裁对自己不利时可以绕过仲裁庭向法院申请临时措施达到拖延程序的目的；或者被申请人是资产流动性大的大企业时，当事人将临时措施作为威胁的工具等。</w:t>
      </w:r>
    </w:p>
    <w:p w14:paraId="28C465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上所述，在“自由选择”模式下，法院和仲裁庭都有权下令采取临时措施的问题在于，这可能导致决定发生冲突，产生成本高昂的重复并行程序，并且可能鼓励当事人选择合适的法院进行诉讼。“自由选择”模式强调当事人的自主权至高无上，但以牺牲司法不干涉为代价，从而产生了上述风险。另一方面，“法院辅助”模式坚守不干涉司法原则，但不以牺牲当事人自主权为代价，因为它还允许当事人选择哪个机构应该拥有权力，从这个角度上来讲这种模式符合帕累托效率方法（Pareto efficiency approach）。即使当事人选择了两者，它也更倾向于授予权力给仲裁庭，同时仍然允许在某些条件下向法院诉诸救济，从而进一步尊重不仅是申请方当事人的自主权，还有争议其他方的自主权。因此，在我国国际商事仲裁的临时措施发布的权力模式选择上建议采用“法院辅助”模式。</w:t>
      </w:r>
      <w:bookmarkStart w:id="48" w:name="_Toc29011"/>
      <w:bookmarkStart w:id="49" w:name="_Toc2374"/>
      <w:bookmarkStart w:id="50" w:name="_Toc22603"/>
    </w:p>
    <w:p w14:paraId="75D576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五、对中国临时措施的立法建议</w:t>
      </w:r>
      <w:bookmarkEnd w:id="48"/>
      <w:bookmarkEnd w:id="49"/>
      <w:bookmarkEnd w:id="50"/>
    </w:p>
    <w:p w14:paraId="48A132FE">
      <w:pPr>
        <w:pStyle w:val="4"/>
        <w:keepNext/>
        <w:keepLines/>
        <w:pageBreakBefore w:val="0"/>
        <w:widowControl w:val="0"/>
        <w:kinsoku/>
        <w:wordWrap/>
        <w:overflowPunct/>
        <w:topLinePunct w:val="0"/>
        <w:autoSpaceDE/>
        <w:autoSpaceDN/>
        <w:bidi w:val="0"/>
        <w:adjustRightInd/>
        <w:snapToGrid/>
        <w:spacing w:line="413" w:lineRule="auto"/>
        <w:ind w:firstLine="562" w:firstLineChars="200"/>
        <w:textAlignment w:val="auto"/>
        <w:rPr>
          <w:rFonts w:hint="eastAsia" w:ascii="仿宋" w:hAnsi="仿宋" w:eastAsia="仿宋" w:cs="仿宋"/>
          <w:sz w:val="28"/>
          <w:szCs w:val="28"/>
          <w:lang w:val="en-US" w:eastAsia="zh-CN"/>
        </w:rPr>
      </w:pPr>
      <w:bookmarkStart w:id="51" w:name="_Toc16124"/>
      <w:bookmarkStart w:id="52" w:name="_Toc14248"/>
      <w:r>
        <w:rPr>
          <w:rFonts w:hint="eastAsia" w:ascii="仿宋" w:hAnsi="仿宋" w:eastAsia="仿宋" w:cs="仿宋"/>
          <w:sz w:val="28"/>
          <w:szCs w:val="28"/>
          <w:lang w:val="en-US" w:eastAsia="zh-CN"/>
        </w:rPr>
        <w:t>（一）采用“法院辅助”模式</w:t>
      </w:r>
      <w:bookmarkEnd w:id="51"/>
      <w:bookmarkEnd w:id="52"/>
    </w:p>
    <w:p w14:paraId="163A32EA">
      <w:pPr>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首先，我国应当调整法院对仲裁的过度监督态度，转向信任、支持和尊重仲裁的立场。为此，需要减少法院对仲裁的干预，并增强法院对仲裁的支持。在立法层面，应协调《民事诉讼法》与《仲裁法》的修订工作。具体而言，仲裁机构的角色应从向法院“转交”临时措施转变为有权发布临时措施的机构。同时，在采用并存权力模式的基础上，由仲裁庭优先对国际商事仲裁案件具有临时措施发布的管辖权，并进一步明确法院与仲裁庭在临时措施发布上的互补权力规则。这一转变将形成“法院辅助”模式。</w:t>
      </w:r>
    </w:p>
    <w:p w14:paraId="131EE36B">
      <w:pPr>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次，在采纳“法院辅助”模式的过程中，我国可以借鉴英国《1996年仲裁法》的经验。该法区分了发布临时措施的紧急情况与非紧急情况，并确定临时措施是否专属于法院发布。因此，我国也可以将不同类型的临时措施发布权分配给仲裁庭和法院。只有在仲裁庭或紧急仲裁员未指定且情况紧急时，法院才能应当事人申请发布非专属于法院发布的临时措施。</w:t>
      </w:r>
    </w:p>
    <w:p w14:paraId="1BF3E8DA">
      <w:pPr>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后，应尊重当事人在临时措施发布权力上的意思自治权利。如果当事人排除仲裁庭发布临时措施，则由法院专属发布。在默认情况下，仲裁庭有权发布临时措施，并采用“法院辅助”模式。然而，为保护我国的司法权力，法院发布临时措施的权力不应通过协议排除。</w:t>
      </w:r>
    </w:p>
    <w:p w14:paraId="7A01F1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文建议按照时间的顺序分配临时措施的管辖权分配。在当事人提起仲裁前，由法院专属拥有对临时措施的管辖权，法院根据情况决定是否发布临时措施或者告知当事人由仲裁庭发布；在提起仲裁后仲裁庭组建之前，由紧急仲裁员享有临时措施的优先管辖权；在仲裁庭组建之后由仲裁庭享有临时措施的优先管辖权。为了保证仲裁庭的知情权以及防止当事人对临时措施的滥用，对于由法院专属发布的临时措施的申请可以保留仲裁庭的“转交”作用。</w:t>
      </w:r>
      <w:bookmarkStart w:id="53" w:name="_Toc14343"/>
      <w:bookmarkStart w:id="54" w:name="_Toc24923"/>
      <w:bookmarkStart w:id="55" w:name="_Toc14698"/>
    </w:p>
    <w:p w14:paraId="4287B2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（二）建议条文</w:t>
      </w:r>
      <w:bookmarkEnd w:id="53"/>
      <w:bookmarkEnd w:id="54"/>
      <w:bookmarkEnd w:id="55"/>
    </w:p>
    <w:p w14:paraId="709199F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对《仲裁法（征求意见稿）》中的相关规定，提出下面的建议条文，以期对我国《仲裁法》的修订有所裨益：</w:t>
      </w:r>
    </w:p>
    <w:p w14:paraId="4AB815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第××节 临时措施</w:t>
      </w:r>
    </w:p>
    <w:p w14:paraId="1C3B42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第××条 当事人在仲裁程序进行前或者进行期间，为了保障仲裁程序的进行、查明争议事实或者裁决执行，当事人可以请求有管辖权的人民法院或仲裁庭发布与仲裁请求有关的临时措施。</w:t>
      </w:r>
    </w:p>
    <w:p w14:paraId="53248E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临时措施包括财产保全、证据保全、行为保全和仲裁庭及法院认为有必要的其他措施。</w:t>
      </w:r>
    </w:p>
    <w:p w14:paraId="2D6608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第××条 当事人可以自由商定仲裁庭为了保障仲裁程序进行以及裁决执行的不涉及第三人权利的临时措施发布权力范围。</w:t>
      </w:r>
    </w:p>
    <w:p w14:paraId="37BA25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除非当事人另有约定，仲裁庭具有以下权力：</w:t>
      </w:r>
    </w:p>
    <w:p w14:paraId="110E886A">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可以命令申请人提供仲裁费用的担保；</w:t>
      </w:r>
    </w:p>
    <w:p w14:paraId="4192C72E">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仲裁庭可以对程序中涉及的任何财产或程序中出现的任何问题发出指示，这些财产是由当事人所有或持有的：</w:t>
      </w:r>
    </w:p>
    <w:p w14:paraId="25B0AE1B">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仲裁庭可以向当事人发出指示，要求其为程序的目的保全其保管或控制的任何证据。</w:t>
      </w:r>
    </w:p>
    <w:p w14:paraId="330D6A35">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其他不涉及第三人权利或法院专属发布的临时措施。</w:t>
      </w:r>
    </w:p>
    <w:p w14:paraId="4E499CA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第××条 临时措施申请人在提起仲裁前，可以根据临时措施执行地所在国家/地区的有关法律规定，直接向具有管辖权的法院提出临时措施申请，也可以请求仲裁机构或指定机构协助其向具有管辖权的法院提出临时措施申请。</w:t>
      </w:r>
    </w:p>
    <w:p w14:paraId="56CA5B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临时措施申请人应当根据临时措施执行地所在国家/地区的有关法律规定在法院采取临时措施后的法定期限内向仲裁委员会申请仲裁。</w:t>
      </w:r>
    </w:p>
    <w:p w14:paraId="729A32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临时措施申请人在提起仲裁前向法院提出临时措施申请的，如果案件具有紧迫性，法院可以根据拟成为仲裁程序当事人的申请，作出发布临时措施的命令。</w:t>
      </w:r>
    </w:p>
    <w:p w14:paraId="5FD453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第××条 当事人需在仲裁案件受理后至仲裁庭组成前提出临时措施申请的，可以依照仲裁规则向仲裁机构或指定机构申请指定紧急仲裁员。由仲裁机构或指定机构决定是否同意组成紧急仲裁庭。紧急仲裁员的权力保留至仲裁庭组成为止。</w:t>
      </w:r>
    </w:p>
    <w:p w14:paraId="3D0639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当事人在仲裁案件受理后至仲裁庭组成前向法院提出临时措施申请的，如果情况具有紧迫性，法院可以根据仲裁程序当事人的申请，作出其认为必要的命令。</w:t>
      </w:r>
    </w:p>
    <w:p w14:paraId="31EBB6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当事人需在仲裁案件受理后至仲裁庭组成前向法院提出临时措施申请的，如果情况不具有紧迫性且仲裁庭也能发布的，法院告知当事人可以申请紧急仲裁员。</w:t>
      </w:r>
    </w:p>
    <w:p w14:paraId="6B27D9E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第××条 当事人在仲裁庭组成后可以通过仲裁庭向法院提出临时措施申请。</w:t>
      </w:r>
      <w:r>
        <w:rPr>
          <w:rFonts w:hint="eastAsia" w:ascii="仿宋" w:hAnsi="仿宋" w:eastAsia="仿宋" w:cs="仿宋"/>
          <w:sz w:val="28"/>
          <w:szCs w:val="28"/>
          <w:lang w:val="en-US" w:eastAsia="zh-CN"/>
        </w:rPr>
        <w:br w:type="page"/>
      </w:r>
    </w:p>
    <w:sectPr>
      <w:headerReference r:id="rId5" w:type="default"/>
      <w:footerReference r:id="rId6" w:type="default"/>
      <w:endnotePr>
        <w:numFmt w:val="decimal"/>
      </w:endnotePr>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46">
    <w:p>
      <w:r>
        <w:separator/>
      </w:r>
    </w:p>
  </w:endnote>
  <w:endnote w:type="continuationSeparator" w:id="47">
    <w:p>
      <w:r>
        <w:continuationSeparator/>
      </w:r>
    </w:p>
  </w:endnote>
  <w:endnote w:id="0">
    <w:p w14:paraId="5F843787">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John Charles Thomas，Interim Measures in International Arbitration:Finding the best answers, 12 Croat. Arbit. Yearb. 213,2005,p. 214</w:t>
      </w:r>
    </w:p>
  </w:endnote>
  <w:endnote w:id="1">
    <w:p w14:paraId="0C79FFD0">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Collins Lawrence, Essays in International Litigation and the conflict of Laws, Oxford University Press, 1996.</w:t>
      </w:r>
    </w:p>
  </w:endnote>
  <w:endnote w:id="2">
    <w:p w14:paraId="2F31A19E">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Gary B. Born,International Commercial Arbitration，Kluwer Law International,2014.</w:t>
      </w:r>
    </w:p>
  </w:endnote>
  <w:endnote w:id="3">
    <w:p w14:paraId="5BA3CED8">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杨良宜、莫世杰、杨大明：《仲裁法——从英国仲裁法到国际商务仲裁》，法律出版社2006年版，第790页</w:t>
      </w:r>
    </w:p>
  </w:endnote>
  <w:endnote w:id="4">
    <w:p w14:paraId="408E948F">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张虎：《关于《自贸区仲裁规则》适用的几个问题》，载《上海商学院学报》2014年第6期。</w:t>
      </w:r>
    </w:p>
  </w:endnote>
  <w:endnote w:id="5">
    <w:p w14:paraId="7F99658B">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孙巍：《中国仲裁立法的二元模式探讨》，载《中国法律评论》2022 年第3期。</w:t>
      </w:r>
    </w:p>
  </w:endnote>
  <w:endnote w:id="6">
    <w:p w14:paraId="65349603">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意大利《民事诉讼法》第 818 条（"仲裁员不得准予扣押或采取其他临时保护措施"）；希腊《民事诉讼法》第 889条 (""仲裁员不得命令、修改或撤销临时保护措施"）</w:t>
      </w:r>
    </w:p>
  </w:endnote>
  <w:endnote w:id="7">
    <w:p w14:paraId="665E4F73">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Scott v Avery 10 E.R. 1121; (1856) 5 H.L. Cas. 811.</w:t>
      </w:r>
    </w:p>
  </w:endnote>
  <w:endnote w:id="8">
    <w:p w14:paraId="5401C178">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参见英国上诉法院案例 Mantovani v Caparelli SpA[1980] 1 Lloyd's Rep 375; Re Q's Estate [1991] 1 All ER 499 and B v S [2011] EWHC 691.</w:t>
      </w:r>
    </w:p>
  </w:endnote>
  <w:endnote w:id="9">
    <w:p w14:paraId="69AC2EDE">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B v S [2011] EWHC 691 (Comm); [2011] 2 Lloyd’s Rep. 18.</w:t>
      </w:r>
    </w:p>
  </w:endnote>
  <w:endnote w:id="10">
    <w:p w14:paraId="782F49DC">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Carolina Power &amp; Light Co. v. Uranex, 451 F. Supp. 1044(N.D.Cal.1977).该案法官认为《纽约公约》的适用并不妨碍法院介入发布临时措施。《纽约公约》没有任何措辞表明它的适用将排除向法院寻求的任何司法协助。</w:t>
      </w:r>
    </w:p>
  </w:endnote>
  <w:endnote w:id="11">
    <w:p w14:paraId="70AF9BFE">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Arbitration Act 1996, section 38.</w:t>
      </w:r>
    </w:p>
  </w:endnote>
  <w:endnote w:id="12">
    <w:p w14:paraId="381260F5">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Neil E. McDonell, The Availability of provisional Relief in International Arbitration , 22 Colum J. Transnat</w:t>
      </w:r>
      <w:r>
        <w:rPr>
          <w:rFonts w:hint="default" w:ascii="仿宋" w:hAnsi="仿宋" w:eastAsia="仿宋" w:cs="仿宋"/>
          <w:sz w:val="22"/>
          <w:szCs w:val="22"/>
          <w:lang w:val="en-US" w:eastAsia="zh-CN"/>
        </w:rPr>
        <w:t>’</w:t>
      </w:r>
      <w:r>
        <w:rPr>
          <w:rFonts w:hint="eastAsia" w:ascii="仿宋" w:hAnsi="仿宋" w:eastAsia="仿宋" w:cs="仿宋"/>
          <w:sz w:val="22"/>
          <w:szCs w:val="22"/>
          <w:lang w:val="en-US" w:eastAsia="zh-CN"/>
        </w:rPr>
        <w:t>1 L. 276,1984.</w:t>
      </w:r>
    </w:p>
  </w:endnote>
  <w:endnote w:id="13">
    <w:p w14:paraId="735BEF55">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杜开林：《对一起仲裁证据保全案的评析》，载《仲裁与法律》2003年第1期。</w:t>
      </w:r>
    </w:p>
  </w:endnote>
  <w:endnote w:id="14">
    <w:p w14:paraId="6955A7E4">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Richard W Naimark &amp; Stephanie E Keer, "Analysis of UNCITRAL Questionnaires on Interim Relief' in Towards a Science of International Arbitration: Collected Empirical Research (Christopher R Drahozal &amp; Richard W Naimark eds,Kluwer Law International, 2005.</w:t>
      </w:r>
    </w:p>
  </w:endnote>
  <w:endnote w:id="15">
    <w:p w14:paraId="5FAA66F0">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M. Abould-Enein, International Interim Relief Measures in International Arbitration in the Arab States, 10-12..</w:t>
      </w:r>
    </w:p>
  </w:endnote>
  <w:endnote w:id="16">
    <w:p w14:paraId="0B28322C">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]它以Anton Piller KG v Manufacturing Process Ltd [1976] 2 WLR 162案命名；[1976] 1 All ER 779.Anton Piller命令授予申请人进入被告住所进行搜查、检查和/或获取与申请人索赔相关的证据的权利。</w:t>
      </w:r>
    </w:p>
  </w:endnote>
  <w:endnote w:id="17">
    <w:p w14:paraId="2D990F9B">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紧急仲裁员制度是一种仲裁制度，旨在解决紧急情况下需要迅速制定临时措施的情况。这种情况通常是指在仲裁程序正式开始之前或正在进行中，当事人需要采取一些紧急措施来保护其权益或确保争议解决的顺利进行。紧急仲裁员是专门被指定或委任来处理这些紧急事务的仲裁员。</w:t>
      </w:r>
    </w:p>
  </w:endnote>
  <w:endnote w:id="18">
    <w:p w14:paraId="42FD0E14">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See Gary Born, International Commercial Arbitration,Kluwer Law International,2014.p.2051.</w:t>
      </w:r>
    </w:p>
  </w:endnote>
  <w:endnote w:id="19">
    <w:p w14:paraId="4022CB37">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德国民事诉讼法第 1041(2) 条。 2005 年 12 月 5 日颁布</w:t>
      </w:r>
    </w:p>
  </w:endnote>
  <w:endnote w:id="20">
    <w:p w14:paraId="38CE52FE">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See Stefan Kr6ll, Das neue deutsche Schiedscrecht vor staatlichen Gerichten"[2001] NJW 1173 at 1179.</w:t>
      </w:r>
    </w:p>
  </w:endnote>
  <w:endnote w:id="21">
    <w:p w14:paraId="3E6B2857">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Jan K Schaefer, "New Solutions for Interim Measures of Protection in International Commercial Arbitration: English, German and Hong Kong Law Compared", 2.2 Electronic J Comp L,1998.</w:t>
      </w:r>
    </w:p>
  </w:endnote>
  <w:endnote w:id="22">
    <w:p w14:paraId="476E9E63">
      <w:pPr>
        <w:pStyle w:val="8"/>
        <w:adjustRightInd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r>
        <w:rPr>
          <w:rFonts w:hint="eastAsia" w:ascii="仿宋" w:hAnsi="仿宋" w:eastAsia="仿宋" w:cs="仿宋"/>
          <w:sz w:val="22"/>
          <w:szCs w:val="22"/>
          <w:lang w:val="en-US" w:eastAsia="zh-CN"/>
        </w:rPr>
        <w:endnoteRef/>
      </w:r>
      <w:r>
        <w:rPr>
          <w:rFonts w:hint="eastAsia" w:ascii="仿宋" w:hAnsi="仿宋" w:eastAsia="仿宋" w:cs="仿宋"/>
          <w:sz w:val="22"/>
          <w:szCs w:val="22"/>
          <w:lang w:val="en-US" w:eastAsia="zh-CN"/>
        </w:rPr>
        <w:t>] Robert Merkin,Arbitration Act 1996 ,Lloyds Commercial Law Library,2000.p.102.</w:t>
      </w:r>
    </w:p>
    <w:p w14:paraId="19BF7C6A">
      <w:pPr>
        <w:pStyle w:val="8"/>
        <w:adjustRightInd w:val="0"/>
        <w:rPr>
          <w:rFonts w:hint="eastAsia" w:ascii="仿宋" w:hAnsi="仿宋" w:eastAsia="仿宋" w:cs="仿宋"/>
          <w:sz w:val="22"/>
          <w:szCs w:val="22"/>
          <w:lang w:val="en-US" w:eastAsia="zh-CN"/>
        </w:rPr>
      </w:pPr>
    </w:p>
    <w:p w14:paraId="3F36012F">
      <w:pPr>
        <w:pStyle w:val="8"/>
        <w:adjustRightInd w:val="0"/>
        <w:rPr>
          <w:rFonts w:hint="eastAsia" w:ascii="仿宋" w:hAnsi="仿宋" w:eastAsia="仿宋" w:cs="仿宋"/>
          <w:sz w:val="22"/>
          <w:szCs w:val="22"/>
          <w:lang w:val="en-US" w:eastAsia="zh-CN"/>
        </w:rPr>
      </w:pPr>
    </w:p>
    <w:p w14:paraId="34371BF1">
      <w:pPr>
        <w:pStyle w:val="8"/>
        <w:adjustRightInd w:val="0"/>
        <w:rPr>
          <w:rFonts w:hint="eastAsia" w:ascii="仿宋" w:hAnsi="仿宋" w:eastAsia="仿宋" w:cs="仿宋"/>
          <w:sz w:val="28"/>
          <w:szCs w:val="28"/>
          <w:lang w:val="en-US" w:eastAsia="zh-CN"/>
        </w:rPr>
      </w:pPr>
    </w:p>
    <w:p w14:paraId="4858E911">
      <w:pPr>
        <w:pStyle w:val="8"/>
        <w:adjustRightInd w:val="0"/>
        <w:rPr>
          <w:rFonts w:hint="eastAsia" w:ascii="仿宋" w:hAnsi="仿宋" w:eastAsia="仿宋" w:cs="仿宋"/>
          <w:sz w:val="22"/>
          <w:szCs w:val="22"/>
          <w:lang w:val="en-US" w:eastAsia="zh-CN"/>
        </w:rPr>
      </w:pPr>
      <w:bookmarkStart w:id="56" w:name="_GoBack"/>
      <w:bookmarkEnd w:id="56"/>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343C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A0902">
                          <w:pPr>
                            <w:pStyle w:val="9"/>
                            <w:rPr>
                              <w:rFonts w:hint="eastAsia" w:ascii="黑体" w:hAnsi="黑体" w:eastAsia="黑体" w:cs="黑体"/>
                              <w:sz w:val="24"/>
                              <w:szCs w:val="24"/>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0A0902">
                    <w:pPr>
                      <w:pStyle w:val="9"/>
                      <w:rPr>
                        <w:rFonts w:hint="eastAsia" w:ascii="黑体" w:hAnsi="黑体" w:eastAsia="黑体" w:cs="黑体"/>
                        <w:sz w:val="24"/>
                        <w:szCs w:val="24"/>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PAGE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E00C3">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BC93">
    <w:pPr>
      <w:widowControl/>
      <w:kinsoku w:val="0"/>
      <w:autoSpaceDE w:val="0"/>
      <w:autoSpaceDN w:val="0"/>
      <w:adjustRightInd w:val="0"/>
      <w:snapToGrid w:val="0"/>
      <w:spacing w:line="185" w:lineRule="auto"/>
      <w:jc w:val="center"/>
      <w:textAlignment w:val="baseline"/>
      <w:rPr>
        <w:rFonts w:ascii="微软雅黑" w:hAnsi="微软雅黑" w:eastAsia="微软雅黑" w:cs="微软雅黑"/>
        <w:snapToGrid w:val="0"/>
        <w:color w:val="000000"/>
        <w:kern w:val="0"/>
        <w:sz w:val="18"/>
        <w:szCs w:val="1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FAAB4"/>
    <w:multiLevelType w:val="singleLevel"/>
    <w:tmpl w:val="C55FAAB4"/>
    <w:lvl w:ilvl="0" w:tentative="0">
      <w:start w:val="1"/>
      <w:numFmt w:val="decimal"/>
      <w:suff w:val="nothing"/>
      <w:lvlText w:val="（%1）"/>
      <w:lvlJc w:val="left"/>
    </w:lvl>
  </w:abstractNum>
  <w:abstractNum w:abstractNumId="1">
    <w:nsid w:val="C5924227"/>
    <w:multiLevelType w:val="singleLevel"/>
    <w:tmpl w:val="C5924227"/>
    <w:lvl w:ilvl="0" w:tentative="0">
      <w:start w:val="1"/>
      <w:numFmt w:val="lowerLetter"/>
      <w:lvlText w:val="%1."/>
      <w:lvlJc w:val="left"/>
      <w:pPr>
        <w:tabs>
          <w:tab w:val="left" w:pos="420"/>
        </w:tabs>
        <w:ind w:left="845" w:hanging="425"/>
      </w:pPr>
      <w:rPr>
        <w:rFonts w:hint="default"/>
      </w:rPr>
    </w:lvl>
  </w:abstractNum>
  <w:abstractNum w:abstractNumId="2">
    <w:nsid w:val="EF027088"/>
    <w:multiLevelType w:val="singleLevel"/>
    <w:tmpl w:val="EF027088"/>
    <w:lvl w:ilvl="0" w:tentative="0">
      <w:start w:val="1"/>
      <w:numFmt w:val="chineseCounting"/>
      <w:suff w:val="nothing"/>
      <w:lvlText w:val="（%1）"/>
      <w:lvlJc w:val="left"/>
      <w:rPr>
        <w:rFonts w:hint="eastAsia"/>
      </w:rPr>
    </w:lvl>
  </w:abstractNum>
  <w:abstractNum w:abstractNumId="3">
    <w:nsid w:val="5195FD6A"/>
    <w:multiLevelType w:val="singleLevel"/>
    <w:tmpl w:val="5195FD6A"/>
    <w:lvl w:ilvl="0" w:tentative="0">
      <w:start w:val="5"/>
      <w:numFmt w:val="chineseCounting"/>
      <w:suff w:val="nothing"/>
      <w:lvlText w:val="第%1，"/>
      <w:lvlJc w:val="left"/>
      <w:rPr>
        <w:rFonts w:hint="eastAsia"/>
      </w:rPr>
    </w:lvl>
  </w:abstractNum>
  <w:abstractNum w:abstractNumId="4">
    <w:nsid w:val="7953E1BC"/>
    <w:multiLevelType w:val="singleLevel"/>
    <w:tmpl w:val="7953E1BC"/>
    <w:lvl w:ilvl="0" w:tentative="0">
      <w:start w:val="1"/>
      <w:numFmt w:val="upperLetter"/>
      <w:lvlText w:val="%1."/>
      <w:lvlJc w:val="left"/>
      <w:pPr>
        <w:ind w:left="425" w:hanging="425"/>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endnote w:id="46"/>
    <w:endnote w:id="47"/>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ZDQ3NGIzMjMzYmU2YmRkMzIxNjdkYjA3ZjU4YTYifQ=="/>
  </w:docVars>
  <w:rsids>
    <w:rsidRoot w:val="005A3FD1"/>
    <w:rsid w:val="00000018"/>
    <w:rsid w:val="00000CDF"/>
    <w:rsid w:val="00001CBE"/>
    <w:rsid w:val="00004541"/>
    <w:rsid w:val="00004988"/>
    <w:rsid w:val="0001033D"/>
    <w:rsid w:val="00011032"/>
    <w:rsid w:val="00024214"/>
    <w:rsid w:val="00025C97"/>
    <w:rsid w:val="00030027"/>
    <w:rsid w:val="00035034"/>
    <w:rsid w:val="0004163F"/>
    <w:rsid w:val="000543E7"/>
    <w:rsid w:val="000544ED"/>
    <w:rsid w:val="00061E90"/>
    <w:rsid w:val="00062F75"/>
    <w:rsid w:val="00066896"/>
    <w:rsid w:val="000718E3"/>
    <w:rsid w:val="00072D0A"/>
    <w:rsid w:val="00074390"/>
    <w:rsid w:val="00075861"/>
    <w:rsid w:val="000771C7"/>
    <w:rsid w:val="000778CF"/>
    <w:rsid w:val="00083AB4"/>
    <w:rsid w:val="00090CEF"/>
    <w:rsid w:val="00093021"/>
    <w:rsid w:val="00097960"/>
    <w:rsid w:val="000A26E4"/>
    <w:rsid w:val="000A5020"/>
    <w:rsid w:val="000A6D90"/>
    <w:rsid w:val="000B12B1"/>
    <w:rsid w:val="000B20FA"/>
    <w:rsid w:val="000B25C7"/>
    <w:rsid w:val="000C1FC7"/>
    <w:rsid w:val="000C353E"/>
    <w:rsid w:val="000C4AB4"/>
    <w:rsid w:val="000C4DC5"/>
    <w:rsid w:val="000D4508"/>
    <w:rsid w:val="000D6133"/>
    <w:rsid w:val="000E1564"/>
    <w:rsid w:val="000E2F39"/>
    <w:rsid w:val="000E2FFB"/>
    <w:rsid w:val="000E4A70"/>
    <w:rsid w:val="000E550A"/>
    <w:rsid w:val="000F2FEB"/>
    <w:rsid w:val="00100322"/>
    <w:rsid w:val="001030A4"/>
    <w:rsid w:val="001060E8"/>
    <w:rsid w:val="00111C35"/>
    <w:rsid w:val="00113494"/>
    <w:rsid w:val="001138AC"/>
    <w:rsid w:val="001203EA"/>
    <w:rsid w:val="00122D76"/>
    <w:rsid w:val="001243C3"/>
    <w:rsid w:val="0013585D"/>
    <w:rsid w:val="00136DC8"/>
    <w:rsid w:val="00137FE7"/>
    <w:rsid w:val="00141B43"/>
    <w:rsid w:val="001504A9"/>
    <w:rsid w:val="00152D8B"/>
    <w:rsid w:val="00153602"/>
    <w:rsid w:val="001541A4"/>
    <w:rsid w:val="00163878"/>
    <w:rsid w:val="0016569C"/>
    <w:rsid w:val="00171F63"/>
    <w:rsid w:val="00173BC7"/>
    <w:rsid w:val="0017700C"/>
    <w:rsid w:val="00180324"/>
    <w:rsid w:val="0018160E"/>
    <w:rsid w:val="001820C9"/>
    <w:rsid w:val="001853A0"/>
    <w:rsid w:val="001874A0"/>
    <w:rsid w:val="0019053A"/>
    <w:rsid w:val="001946F9"/>
    <w:rsid w:val="001A010D"/>
    <w:rsid w:val="001A0285"/>
    <w:rsid w:val="001A0F05"/>
    <w:rsid w:val="001A1994"/>
    <w:rsid w:val="001A5BCD"/>
    <w:rsid w:val="001A751F"/>
    <w:rsid w:val="001B16B6"/>
    <w:rsid w:val="001B7C5D"/>
    <w:rsid w:val="001C1CA1"/>
    <w:rsid w:val="001C39BE"/>
    <w:rsid w:val="001D3DEF"/>
    <w:rsid w:val="001D50C1"/>
    <w:rsid w:val="001E6D60"/>
    <w:rsid w:val="001F218F"/>
    <w:rsid w:val="001F21E0"/>
    <w:rsid w:val="001F2FB2"/>
    <w:rsid w:val="001F756C"/>
    <w:rsid w:val="00204805"/>
    <w:rsid w:val="00204B62"/>
    <w:rsid w:val="00213E61"/>
    <w:rsid w:val="00220A60"/>
    <w:rsid w:val="00220ABF"/>
    <w:rsid w:val="00225521"/>
    <w:rsid w:val="00225AF5"/>
    <w:rsid w:val="00230000"/>
    <w:rsid w:val="002300AE"/>
    <w:rsid w:val="00236F6A"/>
    <w:rsid w:val="00251C43"/>
    <w:rsid w:val="00260AA1"/>
    <w:rsid w:val="0026532C"/>
    <w:rsid w:val="00270C20"/>
    <w:rsid w:val="00273E62"/>
    <w:rsid w:val="00274FBD"/>
    <w:rsid w:val="0027651C"/>
    <w:rsid w:val="002833E7"/>
    <w:rsid w:val="002A2479"/>
    <w:rsid w:val="002A2638"/>
    <w:rsid w:val="002B1FCD"/>
    <w:rsid w:val="002B24EB"/>
    <w:rsid w:val="002B2DCA"/>
    <w:rsid w:val="002B36F6"/>
    <w:rsid w:val="002B4566"/>
    <w:rsid w:val="002B5301"/>
    <w:rsid w:val="002C22E0"/>
    <w:rsid w:val="002C2891"/>
    <w:rsid w:val="002C4219"/>
    <w:rsid w:val="002D0C14"/>
    <w:rsid w:val="002D29FF"/>
    <w:rsid w:val="002D787B"/>
    <w:rsid w:val="002E4934"/>
    <w:rsid w:val="002E5CF4"/>
    <w:rsid w:val="002E703A"/>
    <w:rsid w:val="0030279F"/>
    <w:rsid w:val="00302B05"/>
    <w:rsid w:val="00305332"/>
    <w:rsid w:val="00305A37"/>
    <w:rsid w:val="003134BE"/>
    <w:rsid w:val="0031387B"/>
    <w:rsid w:val="003158AA"/>
    <w:rsid w:val="00317191"/>
    <w:rsid w:val="003257DC"/>
    <w:rsid w:val="00325B01"/>
    <w:rsid w:val="00342A5B"/>
    <w:rsid w:val="0034370E"/>
    <w:rsid w:val="00346574"/>
    <w:rsid w:val="00365967"/>
    <w:rsid w:val="00365D72"/>
    <w:rsid w:val="00375549"/>
    <w:rsid w:val="00381135"/>
    <w:rsid w:val="00382389"/>
    <w:rsid w:val="003823F9"/>
    <w:rsid w:val="00382534"/>
    <w:rsid w:val="00383C86"/>
    <w:rsid w:val="00383FAD"/>
    <w:rsid w:val="00384476"/>
    <w:rsid w:val="003848DB"/>
    <w:rsid w:val="0039134C"/>
    <w:rsid w:val="003A12B4"/>
    <w:rsid w:val="003A33F1"/>
    <w:rsid w:val="003A579B"/>
    <w:rsid w:val="003A579C"/>
    <w:rsid w:val="003A5CAB"/>
    <w:rsid w:val="003A657C"/>
    <w:rsid w:val="003B07E2"/>
    <w:rsid w:val="003B0BD3"/>
    <w:rsid w:val="003B43D9"/>
    <w:rsid w:val="003B7BF9"/>
    <w:rsid w:val="003C3677"/>
    <w:rsid w:val="003C6F6E"/>
    <w:rsid w:val="003D4F3E"/>
    <w:rsid w:val="003E7B45"/>
    <w:rsid w:val="003F6F5A"/>
    <w:rsid w:val="003F7E47"/>
    <w:rsid w:val="004026E0"/>
    <w:rsid w:val="004122E5"/>
    <w:rsid w:val="00412C85"/>
    <w:rsid w:val="00416101"/>
    <w:rsid w:val="00416825"/>
    <w:rsid w:val="0042001B"/>
    <w:rsid w:val="00426F12"/>
    <w:rsid w:val="00427FBE"/>
    <w:rsid w:val="0043723B"/>
    <w:rsid w:val="00440E82"/>
    <w:rsid w:val="004458C5"/>
    <w:rsid w:val="0045094E"/>
    <w:rsid w:val="00454A8C"/>
    <w:rsid w:val="00457C1B"/>
    <w:rsid w:val="00463888"/>
    <w:rsid w:val="00467F69"/>
    <w:rsid w:val="004704B1"/>
    <w:rsid w:val="004715FE"/>
    <w:rsid w:val="00471DA6"/>
    <w:rsid w:val="00472380"/>
    <w:rsid w:val="00476E85"/>
    <w:rsid w:val="00477326"/>
    <w:rsid w:val="0048625A"/>
    <w:rsid w:val="004912CD"/>
    <w:rsid w:val="00492315"/>
    <w:rsid w:val="0049344E"/>
    <w:rsid w:val="00495B56"/>
    <w:rsid w:val="0049699C"/>
    <w:rsid w:val="00497187"/>
    <w:rsid w:val="004B04D5"/>
    <w:rsid w:val="004B1A94"/>
    <w:rsid w:val="004B386A"/>
    <w:rsid w:val="004B4B07"/>
    <w:rsid w:val="004B7EB6"/>
    <w:rsid w:val="004C1B2E"/>
    <w:rsid w:val="004C23B1"/>
    <w:rsid w:val="004C3959"/>
    <w:rsid w:val="004C7D2C"/>
    <w:rsid w:val="004D377E"/>
    <w:rsid w:val="004D3B08"/>
    <w:rsid w:val="004D4C36"/>
    <w:rsid w:val="004E22C5"/>
    <w:rsid w:val="004F4986"/>
    <w:rsid w:val="005024E4"/>
    <w:rsid w:val="005054CD"/>
    <w:rsid w:val="0050660A"/>
    <w:rsid w:val="0050771D"/>
    <w:rsid w:val="00513695"/>
    <w:rsid w:val="0052055F"/>
    <w:rsid w:val="00521562"/>
    <w:rsid w:val="00521F35"/>
    <w:rsid w:val="00522DB6"/>
    <w:rsid w:val="00531534"/>
    <w:rsid w:val="005321FF"/>
    <w:rsid w:val="00532CFC"/>
    <w:rsid w:val="005343ED"/>
    <w:rsid w:val="00544750"/>
    <w:rsid w:val="00547086"/>
    <w:rsid w:val="00552CBB"/>
    <w:rsid w:val="005531A6"/>
    <w:rsid w:val="00554CD6"/>
    <w:rsid w:val="00555596"/>
    <w:rsid w:val="005708B2"/>
    <w:rsid w:val="00571D55"/>
    <w:rsid w:val="0058412C"/>
    <w:rsid w:val="00584387"/>
    <w:rsid w:val="00591A2D"/>
    <w:rsid w:val="00592189"/>
    <w:rsid w:val="00596A3B"/>
    <w:rsid w:val="005A3FD1"/>
    <w:rsid w:val="005A473E"/>
    <w:rsid w:val="005A5C4D"/>
    <w:rsid w:val="005B0ACF"/>
    <w:rsid w:val="005B3520"/>
    <w:rsid w:val="005B7867"/>
    <w:rsid w:val="005C790C"/>
    <w:rsid w:val="005C7F73"/>
    <w:rsid w:val="005D109A"/>
    <w:rsid w:val="005D1124"/>
    <w:rsid w:val="005D3734"/>
    <w:rsid w:val="005E58A7"/>
    <w:rsid w:val="005F37F0"/>
    <w:rsid w:val="005F76AD"/>
    <w:rsid w:val="00611AA6"/>
    <w:rsid w:val="006173EE"/>
    <w:rsid w:val="006205F4"/>
    <w:rsid w:val="006246A2"/>
    <w:rsid w:val="0062484B"/>
    <w:rsid w:val="00627B9B"/>
    <w:rsid w:val="00630498"/>
    <w:rsid w:val="0063477C"/>
    <w:rsid w:val="00636A92"/>
    <w:rsid w:val="0063777F"/>
    <w:rsid w:val="00640B2A"/>
    <w:rsid w:val="00644E3E"/>
    <w:rsid w:val="00647989"/>
    <w:rsid w:val="00662615"/>
    <w:rsid w:val="006752B4"/>
    <w:rsid w:val="0067536B"/>
    <w:rsid w:val="00676897"/>
    <w:rsid w:val="0067768E"/>
    <w:rsid w:val="0068190C"/>
    <w:rsid w:val="0068383C"/>
    <w:rsid w:val="00695775"/>
    <w:rsid w:val="006A1CFE"/>
    <w:rsid w:val="006A6E06"/>
    <w:rsid w:val="006A7AC7"/>
    <w:rsid w:val="006B43A1"/>
    <w:rsid w:val="006C51DA"/>
    <w:rsid w:val="006D20CE"/>
    <w:rsid w:val="006E0734"/>
    <w:rsid w:val="006E6AD3"/>
    <w:rsid w:val="006E765B"/>
    <w:rsid w:val="006F6FF8"/>
    <w:rsid w:val="00704E53"/>
    <w:rsid w:val="0070542D"/>
    <w:rsid w:val="00705CFE"/>
    <w:rsid w:val="007104E2"/>
    <w:rsid w:val="00711B86"/>
    <w:rsid w:val="00714A86"/>
    <w:rsid w:val="00715191"/>
    <w:rsid w:val="0071607F"/>
    <w:rsid w:val="007177B6"/>
    <w:rsid w:val="00720251"/>
    <w:rsid w:val="00720EAE"/>
    <w:rsid w:val="0072103D"/>
    <w:rsid w:val="00721241"/>
    <w:rsid w:val="00737971"/>
    <w:rsid w:val="007414D0"/>
    <w:rsid w:val="00753923"/>
    <w:rsid w:val="00755203"/>
    <w:rsid w:val="00761DA5"/>
    <w:rsid w:val="00766750"/>
    <w:rsid w:val="00771599"/>
    <w:rsid w:val="00775507"/>
    <w:rsid w:val="00777697"/>
    <w:rsid w:val="007927EE"/>
    <w:rsid w:val="0079469F"/>
    <w:rsid w:val="00794F59"/>
    <w:rsid w:val="00797232"/>
    <w:rsid w:val="007A37DC"/>
    <w:rsid w:val="007A566C"/>
    <w:rsid w:val="007A5832"/>
    <w:rsid w:val="007A5C56"/>
    <w:rsid w:val="007B0980"/>
    <w:rsid w:val="007B0E7A"/>
    <w:rsid w:val="007D1B1B"/>
    <w:rsid w:val="007D31BB"/>
    <w:rsid w:val="007D630E"/>
    <w:rsid w:val="007D7279"/>
    <w:rsid w:val="007E47CB"/>
    <w:rsid w:val="007E5945"/>
    <w:rsid w:val="007E600C"/>
    <w:rsid w:val="007E6494"/>
    <w:rsid w:val="007F017C"/>
    <w:rsid w:val="007F4288"/>
    <w:rsid w:val="007F4805"/>
    <w:rsid w:val="007F69D3"/>
    <w:rsid w:val="0080081C"/>
    <w:rsid w:val="0080279D"/>
    <w:rsid w:val="008040A7"/>
    <w:rsid w:val="0080512A"/>
    <w:rsid w:val="00812B94"/>
    <w:rsid w:val="00820B7B"/>
    <w:rsid w:val="00831529"/>
    <w:rsid w:val="00834DB2"/>
    <w:rsid w:val="00835428"/>
    <w:rsid w:val="00841816"/>
    <w:rsid w:val="008429F2"/>
    <w:rsid w:val="00854B29"/>
    <w:rsid w:val="00855319"/>
    <w:rsid w:val="0085733F"/>
    <w:rsid w:val="00864BD8"/>
    <w:rsid w:val="0087735A"/>
    <w:rsid w:val="00877FE1"/>
    <w:rsid w:val="00880C2E"/>
    <w:rsid w:val="00895012"/>
    <w:rsid w:val="008A0CFB"/>
    <w:rsid w:val="008A5288"/>
    <w:rsid w:val="008C26E2"/>
    <w:rsid w:val="008C2C23"/>
    <w:rsid w:val="008C2C44"/>
    <w:rsid w:val="008C6DEA"/>
    <w:rsid w:val="008D14B3"/>
    <w:rsid w:val="008D46C6"/>
    <w:rsid w:val="008D58A3"/>
    <w:rsid w:val="008E0F67"/>
    <w:rsid w:val="008F3036"/>
    <w:rsid w:val="008F312B"/>
    <w:rsid w:val="008F3E56"/>
    <w:rsid w:val="0090729A"/>
    <w:rsid w:val="00907320"/>
    <w:rsid w:val="009107A3"/>
    <w:rsid w:val="0091080C"/>
    <w:rsid w:val="009147BB"/>
    <w:rsid w:val="00916726"/>
    <w:rsid w:val="009179FD"/>
    <w:rsid w:val="00926AFD"/>
    <w:rsid w:val="00940D71"/>
    <w:rsid w:val="00946E5E"/>
    <w:rsid w:val="00947874"/>
    <w:rsid w:val="0095393D"/>
    <w:rsid w:val="0096528A"/>
    <w:rsid w:val="0096577E"/>
    <w:rsid w:val="00975841"/>
    <w:rsid w:val="00981D09"/>
    <w:rsid w:val="00983E7F"/>
    <w:rsid w:val="00993CCB"/>
    <w:rsid w:val="00996957"/>
    <w:rsid w:val="00996F92"/>
    <w:rsid w:val="00997A7A"/>
    <w:rsid w:val="009A0989"/>
    <w:rsid w:val="009A62AB"/>
    <w:rsid w:val="009A7851"/>
    <w:rsid w:val="009B2021"/>
    <w:rsid w:val="009B2621"/>
    <w:rsid w:val="009B470C"/>
    <w:rsid w:val="009C461D"/>
    <w:rsid w:val="009C576F"/>
    <w:rsid w:val="009C74D0"/>
    <w:rsid w:val="009D4537"/>
    <w:rsid w:val="009D7AC9"/>
    <w:rsid w:val="009E1F8B"/>
    <w:rsid w:val="009E65D0"/>
    <w:rsid w:val="009E7946"/>
    <w:rsid w:val="009F0E15"/>
    <w:rsid w:val="009F2A13"/>
    <w:rsid w:val="00A00670"/>
    <w:rsid w:val="00A10CF1"/>
    <w:rsid w:val="00A1265F"/>
    <w:rsid w:val="00A1796D"/>
    <w:rsid w:val="00A20D14"/>
    <w:rsid w:val="00A2415F"/>
    <w:rsid w:val="00A307CE"/>
    <w:rsid w:val="00A33F65"/>
    <w:rsid w:val="00A36020"/>
    <w:rsid w:val="00A4404E"/>
    <w:rsid w:val="00A46427"/>
    <w:rsid w:val="00A5035A"/>
    <w:rsid w:val="00A51B26"/>
    <w:rsid w:val="00A54C74"/>
    <w:rsid w:val="00A576FD"/>
    <w:rsid w:val="00A6431E"/>
    <w:rsid w:val="00A651F5"/>
    <w:rsid w:val="00A70671"/>
    <w:rsid w:val="00A712DE"/>
    <w:rsid w:val="00A74E98"/>
    <w:rsid w:val="00A76D01"/>
    <w:rsid w:val="00A8230B"/>
    <w:rsid w:val="00A856DF"/>
    <w:rsid w:val="00A907F3"/>
    <w:rsid w:val="00AA13B4"/>
    <w:rsid w:val="00AC04BD"/>
    <w:rsid w:val="00AC087E"/>
    <w:rsid w:val="00AC4BB5"/>
    <w:rsid w:val="00AD0287"/>
    <w:rsid w:val="00AD2364"/>
    <w:rsid w:val="00AD5E26"/>
    <w:rsid w:val="00AE264E"/>
    <w:rsid w:val="00AE51EC"/>
    <w:rsid w:val="00AE6D6B"/>
    <w:rsid w:val="00AE78F4"/>
    <w:rsid w:val="00AF1894"/>
    <w:rsid w:val="00B102CB"/>
    <w:rsid w:val="00B26624"/>
    <w:rsid w:val="00B26D52"/>
    <w:rsid w:val="00B31B04"/>
    <w:rsid w:val="00B332DC"/>
    <w:rsid w:val="00B46FCD"/>
    <w:rsid w:val="00B50013"/>
    <w:rsid w:val="00B7184B"/>
    <w:rsid w:val="00B822D7"/>
    <w:rsid w:val="00B82782"/>
    <w:rsid w:val="00B84B6B"/>
    <w:rsid w:val="00B868EC"/>
    <w:rsid w:val="00B8759A"/>
    <w:rsid w:val="00B9475A"/>
    <w:rsid w:val="00B95907"/>
    <w:rsid w:val="00B95AFD"/>
    <w:rsid w:val="00B95E03"/>
    <w:rsid w:val="00B96100"/>
    <w:rsid w:val="00BA05BC"/>
    <w:rsid w:val="00BA12E9"/>
    <w:rsid w:val="00BA38BE"/>
    <w:rsid w:val="00BB0560"/>
    <w:rsid w:val="00BB5C61"/>
    <w:rsid w:val="00BC3A67"/>
    <w:rsid w:val="00BD04D0"/>
    <w:rsid w:val="00BD097C"/>
    <w:rsid w:val="00BD12BA"/>
    <w:rsid w:val="00BD52DC"/>
    <w:rsid w:val="00BD5B4E"/>
    <w:rsid w:val="00BD6B1D"/>
    <w:rsid w:val="00BF03C1"/>
    <w:rsid w:val="00BF52AF"/>
    <w:rsid w:val="00BF644A"/>
    <w:rsid w:val="00C00C67"/>
    <w:rsid w:val="00C03693"/>
    <w:rsid w:val="00C05597"/>
    <w:rsid w:val="00C11D14"/>
    <w:rsid w:val="00C12618"/>
    <w:rsid w:val="00C12644"/>
    <w:rsid w:val="00C1731A"/>
    <w:rsid w:val="00C25FEB"/>
    <w:rsid w:val="00C2632C"/>
    <w:rsid w:val="00C32859"/>
    <w:rsid w:val="00C32ADB"/>
    <w:rsid w:val="00C33B5F"/>
    <w:rsid w:val="00C41773"/>
    <w:rsid w:val="00C44815"/>
    <w:rsid w:val="00C44D9F"/>
    <w:rsid w:val="00C46900"/>
    <w:rsid w:val="00C51809"/>
    <w:rsid w:val="00C54897"/>
    <w:rsid w:val="00C54920"/>
    <w:rsid w:val="00C552F2"/>
    <w:rsid w:val="00C6014D"/>
    <w:rsid w:val="00C6022C"/>
    <w:rsid w:val="00C63B3E"/>
    <w:rsid w:val="00C648C8"/>
    <w:rsid w:val="00C656C6"/>
    <w:rsid w:val="00C726DB"/>
    <w:rsid w:val="00C82F2B"/>
    <w:rsid w:val="00C867F0"/>
    <w:rsid w:val="00C924BB"/>
    <w:rsid w:val="00C92B59"/>
    <w:rsid w:val="00C9348B"/>
    <w:rsid w:val="00C95428"/>
    <w:rsid w:val="00C9725C"/>
    <w:rsid w:val="00CA3D21"/>
    <w:rsid w:val="00CA6D76"/>
    <w:rsid w:val="00CA6F6B"/>
    <w:rsid w:val="00CA7D18"/>
    <w:rsid w:val="00CB28AF"/>
    <w:rsid w:val="00CB598B"/>
    <w:rsid w:val="00CB7CFB"/>
    <w:rsid w:val="00CC13A7"/>
    <w:rsid w:val="00CC3F88"/>
    <w:rsid w:val="00CD4AAE"/>
    <w:rsid w:val="00CD541D"/>
    <w:rsid w:val="00CD5F2E"/>
    <w:rsid w:val="00CD7998"/>
    <w:rsid w:val="00CE03D7"/>
    <w:rsid w:val="00CE15FB"/>
    <w:rsid w:val="00CE4079"/>
    <w:rsid w:val="00CF5188"/>
    <w:rsid w:val="00D00EFE"/>
    <w:rsid w:val="00D035E1"/>
    <w:rsid w:val="00D038BF"/>
    <w:rsid w:val="00D057E6"/>
    <w:rsid w:val="00D06082"/>
    <w:rsid w:val="00D14A0B"/>
    <w:rsid w:val="00D16E89"/>
    <w:rsid w:val="00D171DA"/>
    <w:rsid w:val="00D175E4"/>
    <w:rsid w:val="00D179F5"/>
    <w:rsid w:val="00D253A9"/>
    <w:rsid w:val="00D25B32"/>
    <w:rsid w:val="00D30B19"/>
    <w:rsid w:val="00D30C06"/>
    <w:rsid w:val="00D344FE"/>
    <w:rsid w:val="00D40C4F"/>
    <w:rsid w:val="00D46039"/>
    <w:rsid w:val="00D47494"/>
    <w:rsid w:val="00D52EC0"/>
    <w:rsid w:val="00D54B9A"/>
    <w:rsid w:val="00D735C1"/>
    <w:rsid w:val="00D753AC"/>
    <w:rsid w:val="00D76182"/>
    <w:rsid w:val="00D7684A"/>
    <w:rsid w:val="00D768AB"/>
    <w:rsid w:val="00D81955"/>
    <w:rsid w:val="00D84BFF"/>
    <w:rsid w:val="00D91BBF"/>
    <w:rsid w:val="00D93D31"/>
    <w:rsid w:val="00D952C9"/>
    <w:rsid w:val="00DA33BE"/>
    <w:rsid w:val="00DA43BF"/>
    <w:rsid w:val="00DA5EEB"/>
    <w:rsid w:val="00DA6A0B"/>
    <w:rsid w:val="00DB1092"/>
    <w:rsid w:val="00DB36E6"/>
    <w:rsid w:val="00DB7500"/>
    <w:rsid w:val="00DB7940"/>
    <w:rsid w:val="00DC28BD"/>
    <w:rsid w:val="00DC72D6"/>
    <w:rsid w:val="00DD6BD0"/>
    <w:rsid w:val="00DE3828"/>
    <w:rsid w:val="00DE56D9"/>
    <w:rsid w:val="00DF65B5"/>
    <w:rsid w:val="00DF6B51"/>
    <w:rsid w:val="00E026D6"/>
    <w:rsid w:val="00E0479A"/>
    <w:rsid w:val="00E048C1"/>
    <w:rsid w:val="00E17A07"/>
    <w:rsid w:val="00E253AC"/>
    <w:rsid w:val="00E32474"/>
    <w:rsid w:val="00E3392F"/>
    <w:rsid w:val="00E3672B"/>
    <w:rsid w:val="00E57324"/>
    <w:rsid w:val="00E6060D"/>
    <w:rsid w:val="00E619B4"/>
    <w:rsid w:val="00E63494"/>
    <w:rsid w:val="00E67C28"/>
    <w:rsid w:val="00E936B9"/>
    <w:rsid w:val="00E94746"/>
    <w:rsid w:val="00E97350"/>
    <w:rsid w:val="00EA136A"/>
    <w:rsid w:val="00EA336B"/>
    <w:rsid w:val="00EA58E3"/>
    <w:rsid w:val="00EA70DD"/>
    <w:rsid w:val="00EB222B"/>
    <w:rsid w:val="00EB325E"/>
    <w:rsid w:val="00EB63F4"/>
    <w:rsid w:val="00EB7241"/>
    <w:rsid w:val="00EC3CB8"/>
    <w:rsid w:val="00EC4DAE"/>
    <w:rsid w:val="00EC5335"/>
    <w:rsid w:val="00ED4D04"/>
    <w:rsid w:val="00EE0670"/>
    <w:rsid w:val="00EE4E66"/>
    <w:rsid w:val="00EF5B18"/>
    <w:rsid w:val="00EF6F4F"/>
    <w:rsid w:val="00F03C2B"/>
    <w:rsid w:val="00F04B33"/>
    <w:rsid w:val="00F05027"/>
    <w:rsid w:val="00F06EBC"/>
    <w:rsid w:val="00F07FDF"/>
    <w:rsid w:val="00F11C14"/>
    <w:rsid w:val="00F1310D"/>
    <w:rsid w:val="00F133CE"/>
    <w:rsid w:val="00F14F15"/>
    <w:rsid w:val="00F15739"/>
    <w:rsid w:val="00F16579"/>
    <w:rsid w:val="00F17398"/>
    <w:rsid w:val="00F24160"/>
    <w:rsid w:val="00F27ABA"/>
    <w:rsid w:val="00F30535"/>
    <w:rsid w:val="00F31C92"/>
    <w:rsid w:val="00F33046"/>
    <w:rsid w:val="00F403E4"/>
    <w:rsid w:val="00F4489B"/>
    <w:rsid w:val="00F44AD5"/>
    <w:rsid w:val="00F460C3"/>
    <w:rsid w:val="00F557A4"/>
    <w:rsid w:val="00F5728D"/>
    <w:rsid w:val="00F60157"/>
    <w:rsid w:val="00F615A7"/>
    <w:rsid w:val="00F632A2"/>
    <w:rsid w:val="00F64A88"/>
    <w:rsid w:val="00F67C9B"/>
    <w:rsid w:val="00F67F13"/>
    <w:rsid w:val="00F70040"/>
    <w:rsid w:val="00F725F0"/>
    <w:rsid w:val="00F76F30"/>
    <w:rsid w:val="00F84B76"/>
    <w:rsid w:val="00F91B04"/>
    <w:rsid w:val="00FA0ADE"/>
    <w:rsid w:val="00FA1F23"/>
    <w:rsid w:val="00FA5CA0"/>
    <w:rsid w:val="00FB0174"/>
    <w:rsid w:val="00FC03B2"/>
    <w:rsid w:val="00FD4E83"/>
    <w:rsid w:val="00FD70AD"/>
    <w:rsid w:val="00FE0989"/>
    <w:rsid w:val="00FE2E05"/>
    <w:rsid w:val="00FE3DCD"/>
    <w:rsid w:val="01655E65"/>
    <w:rsid w:val="017B0A39"/>
    <w:rsid w:val="018B537B"/>
    <w:rsid w:val="01D94A20"/>
    <w:rsid w:val="01EB5D50"/>
    <w:rsid w:val="01EC00AD"/>
    <w:rsid w:val="020D1781"/>
    <w:rsid w:val="021C194E"/>
    <w:rsid w:val="023313E2"/>
    <w:rsid w:val="031275D3"/>
    <w:rsid w:val="04146F02"/>
    <w:rsid w:val="042D5469"/>
    <w:rsid w:val="04336C2D"/>
    <w:rsid w:val="04483ECD"/>
    <w:rsid w:val="045F648A"/>
    <w:rsid w:val="04FC088E"/>
    <w:rsid w:val="051D475B"/>
    <w:rsid w:val="05CA187D"/>
    <w:rsid w:val="0643018A"/>
    <w:rsid w:val="06C90C44"/>
    <w:rsid w:val="070D53E3"/>
    <w:rsid w:val="07166979"/>
    <w:rsid w:val="074266A5"/>
    <w:rsid w:val="077E67DF"/>
    <w:rsid w:val="07B46A23"/>
    <w:rsid w:val="07EA0E72"/>
    <w:rsid w:val="08387E2F"/>
    <w:rsid w:val="08EE6D29"/>
    <w:rsid w:val="093D4D21"/>
    <w:rsid w:val="099511C4"/>
    <w:rsid w:val="09BC3D64"/>
    <w:rsid w:val="09C85B42"/>
    <w:rsid w:val="09E5425D"/>
    <w:rsid w:val="09EF4E92"/>
    <w:rsid w:val="0A586B51"/>
    <w:rsid w:val="0A7A6FFE"/>
    <w:rsid w:val="0AB95942"/>
    <w:rsid w:val="0ACE4A7B"/>
    <w:rsid w:val="0B30317A"/>
    <w:rsid w:val="0B530597"/>
    <w:rsid w:val="0B926A41"/>
    <w:rsid w:val="0BD20968"/>
    <w:rsid w:val="0C106839"/>
    <w:rsid w:val="0C2004F5"/>
    <w:rsid w:val="0C3325B4"/>
    <w:rsid w:val="0C5512B3"/>
    <w:rsid w:val="0C687830"/>
    <w:rsid w:val="0C8457C2"/>
    <w:rsid w:val="0CC1182F"/>
    <w:rsid w:val="0D093E7B"/>
    <w:rsid w:val="0D232B50"/>
    <w:rsid w:val="0D3F655E"/>
    <w:rsid w:val="0D6563E8"/>
    <w:rsid w:val="0D915000"/>
    <w:rsid w:val="0E7F09D6"/>
    <w:rsid w:val="0E890418"/>
    <w:rsid w:val="0E9908AE"/>
    <w:rsid w:val="0ED91779"/>
    <w:rsid w:val="0F1F3AF7"/>
    <w:rsid w:val="0F200689"/>
    <w:rsid w:val="0F250F91"/>
    <w:rsid w:val="0F6515C4"/>
    <w:rsid w:val="0FC053FE"/>
    <w:rsid w:val="0FCD1104"/>
    <w:rsid w:val="0FD22067"/>
    <w:rsid w:val="109D3EA8"/>
    <w:rsid w:val="10A83678"/>
    <w:rsid w:val="10C256BE"/>
    <w:rsid w:val="10E46F1B"/>
    <w:rsid w:val="112C24FB"/>
    <w:rsid w:val="1163453B"/>
    <w:rsid w:val="11C64E81"/>
    <w:rsid w:val="12106A28"/>
    <w:rsid w:val="125D55FE"/>
    <w:rsid w:val="125D629C"/>
    <w:rsid w:val="12C117EC"/>
    <w:rsid w:val="13034356"/>
    <w:rsid w:val="134D0507"/>
    <w:rsid w:val="13CD4234"/>
    <w:rsid w:val="13DC67D6"/>
    <w:rsid w:val="13DD48BE"/>
    <w:rsid w:val="14294AD0"/>
    <w:rsid w:val="14620824"/>
    <w:rsid w:val="14FD75BB"/>
    <w:rsid w:val="15655021"/>
    <w:rsid w:val="156B27C1"/>
    <w:rsid w:val="15966FBC"/>
    <w:rsid w:val="159B101A"/>
    <w:rsid w:val="15B156F3"/>
    <w:rsid w:val="15B23376"/>
    <w:rsid w:val="16F856BB"/>
    <w:rsid w:val="170671B4"/>
    <w:rsid w:val="173949CD"/>
    <w:rsid w:val="17683117"/>
    <w:rsid w:val="17796369"/>
    <w:rsid w:val="17D200BB"/>
    <w:rsid w:val="186F662D"/>
    <w:rsid w:val="18CE507B"/>
    <w:rsid w:val="190026B0"/>
    <w:rsid w:val="19020DC0"/>
    <w:rsid w:val="195A7890"/>
    <w:rsid w:val="19677341"/>
    <w:rsid w:val="19A37205"/>
    <w:rsid w:val="19D65740"/>
    <w:rsid w:val="19E16C82"/>
    <w:rsid w:val="1AB93027"/>
    <w:rsid w:val="1AE71241"/>
    <w:rsid w:val="1B170C1F"/>
    <w:rsid w:val="1BD46DDD"/>
    <w:rsid w:val="1C405298"/>
    <w:rsid w:val="1D3C1140"/>
    <w:rsid w:val="1E297051"/>
    <w:rsid w:val="1E4D64BC"/>
    <w:rsid w:val="1E761259"/>
    <w:rsid w:val="1E8277F9"/>
    <w:rsid w:val="1F372BA9"/>
    <w:rsid w:val="1F3A2109"/>
    <w:rsid w:val="1F7060C3"/>
    <w:rsid w:val="1F794E91"/>
    <w:rsid w:val="1F7B775F"/>
    <w:rsid w:val="20016901"/>
    <w:rsid w:val="202730EF"/>
    <w:rsid w:val="20AF4E6C"/>
    <w:rsid w:val="223F3BE8"/>
    <w:rsid w:val="22855306"/>
    <w:rsid w:val="22C7276B"/>
    <w:rsid w:val="22D72482"/>
    <w:rsid w:val="230C593D"/>
    <w:rsid w:val="2310451B"/>
    <w:rsid w:val="23CF6A6C"/>
    <w:rsid w:val="245C3920"/>
    <w:rsid w:val="247B31FD"/>
    <w:rsid w:val="24A4488F"/>
    <w:rsid w:val="24D779A0"/>
    <w:rsid w:val="24ED714A"/>
    <w:rsid w:val="24FB3811"/>
    <w:rsid w:val="250C33E4"/>
    <w:rsid w:val="255567B2"/>
    <w:rsid w:val="255D5041"/>
    <w:rsid w:val="25944C3C"/>
    <w:rsid w:val="25AB11A4"/>
    <w:rsid w:val="25D23219"/>
    <w:rsid w:val="25F628FE"/>
    <w:rsid w:val="26045E5D"/>
    <w:rsid w:val="26082868"/>
    <w:rsid w:val="2614347C"/>
    <w:rsid w:val="26146B0C"/>
    <w:rsid w:val="26274BF4"/>
    <w:rsid w:val="264D464E"/>
    <w:rsid w:val="269C55D5"/>
    <w:rsid w:val="26AD77E2"/>
    <w:rsid w:val="26E47E60"/>
    <w:rsid w:val="27054872"/>
    <w:rsid w:val="272E089E"/>
    <w:rsid w:val="27AA6A87"/>
    <w:rsid w:val="27DA0163"/>
    <w:rsid w:val="27ED6180"/>
    <w:rsid w:val="281176E2"/>
    <w:rsid w:val="286A0D89"/>
    <w:rsid w:val="28AA49EB"/>
    <w:rsid w:val="28B43143"/>
    <w:rsid w:val="28D72367"/>
    <w:rsid w:val="28FC6D57"/>
    <w:rsid w:val="291E6775"/>
    <w:rsid w:val="296C453F"/>
    <w:rsid w:val="299A05F7"/>
    <w:rsid w:val="2AB77D1F"/>
    <w:rsid w:val="2B3804EE"/>
    <w:rsid w:val="2BB423FB"/>
    <w:rsid w:val="2BE87952"/>
    <w:rsid w:val="2C0725F4"/>
    <w:rsid w:val="2C2510D2"/>
    <w:rsid w:val="2C6D3C9C"/>
    <w:rsid w:val="2D5714C7"/>
    <w:rsid w:val="2D584B09"/>
    <w:rsid w:val="2DD9710F"/>
    <w:rsid w:val="2E0E474E"/>
    <w:rsid w:val="2E457352"/>
    <w:rsid w:val="2E66003E"/>
    <w:rsid w:val="2EBC6814"/>
    <w:rsid w:val="2EC142DB"/>
    <w:rsid w:val="2ED21461"/>
    <w:rsid w:val="2F176BD0"/>
    <w:rsid w:val="2F6E2D5C"/>
    <w:rsid w:val="2F81123D"/>
    <w:rsid w:val="2FBE78D3"/>
    <w:rsid w:val="2FBF2965"/>
    <w:rsid w:val="2FE74F43"/>
    <w:rsid w:val="307554BD"/>
    <w:rsid w:val="30FF5724"/>
    <w:rsid w:val="310C63EB"/>
    <w:rsid w:val="313808BA"/>
    <w:rsid w:val="3150356A"/>
    <w:rsid w:val="317D3A48"/>
    <w:rsid w:val="31C24FE8"/>
    <w:rsid w:val="31EF087E"/>
    <w:rsid w:val="3221755E"/>
    <w:rsid w:val="329E6170"/>
    <w:rsid w:val="334D2C44"/>
    <w:rsid w:val="33584706"/>
    <w:rsid w:val="34096D95"/>
    <w:rsid w:val="34307711"/>
    <w:rsid w:val="346762F2"/>
    <w:rsid w:val="34753B6B"/>
    <w:rsid w:val="34977DD9"/>
    <w:rsid w:val="34CE1543"/>
    <w:rsid w:val="35044ECF"/>
    <w:rsid w:val="352E0955"/>
    <w:rsid w:val="361268C7"/>
    <w:rsid w:val="36371002"/>
    <w:rsid w:val="363D5B74"/>
    <w:rsid w:val="36A81924"/>
    <w:rsid w:val="36B867BE"/>
    <w:rsid w:val="36DB0B8C"/>
    <w:rsid w:val="36F34DE9"/>
    <w:rsid w:val="37A576C8"/>
    <w:rsid w:val="37A97B83"/>
    <w:rsid w:val="37E968A7"/>
    <w:rsid w:val="37EA6323"/>
    <w:rsid w:val="387D12CB"/>
    <w:rsid w:val="387E51C0"/>
    <w:rsid w:val="38CC0627"/>
    <w:rsid w:val="39320F28"/>
    <w:rsid w:val="39346D63"/>
    <w:rsid w:val="393D0552"/>
    <w:rsid w:val="394B69F2"/>
    <w:rsid w:val="39CB3895"/>
    <w:rsid w:val="3A532A38"/>
    <w:rsid w:val="3AB94550"/>
    <w:rsid w:val="3B127FF2"/>
    <w:rsid w:val="3B2B0F4E"/>
    <w:rsid w:val="3B684DE3"/>
    <w:rsid w:val="3B776D8A"/>
    <w:rsid w:val="3B7915FE"/>
    <w:rsid w:val="3B9B13B3"/>
    <w:rsid w:val="3BD827B4"/>
    <w:rsid w:val="3BF2500D"/>
    <w:rsid w:val="3C02567B"/>
    <w:rsid w:val="3C0A372E"/>
    <w:rsid w:val="3C2B6621"/>
    <w:rsid w:val="3C61689C"/>
    <w:rsid w:val="3CBD7F7B"/>
    <w:rsid w:val="3EC22F0F"/>
    <w:rsid w:val="3EE6168C"/>
    <w:rsid w:val="400F544E"/>
    <w:rsid w:val="402A1BD1"/>
    <w:rsid w:val="40712EDE"/>
    <w:rsid w:val="408F15CC"/>
    <w:rsid w:val="409615D0"/>
    <w:rsid w:val="40D93256"/>
    <w:rsid w:val="4110479E"/>
    <w:rsid w:val="41543ED4"/>
    <w:rsid w:val="41A75102"/>
    <w:rsid w:val="424329B4"/>
    <w:rsid w:val="4263542C"/>
    <w:rsid w:val="428D5304"/>
    <w:rsid w:val="42983D9B"/>
    <w:rsid w:val="43460D7D"/>
    <w:rsid w:val="438029EC"/>
    <w:rsid w:val="43B4440D"/>
    <w:rsid w:val="43D80310"/>
    <w:rsid w:val="43F97FB7"/>
    <w:rsid w:val="4404683C"/>
    <w:rsid w:val="44D75141"/>
    <w:rsid w:val="45F14B9E"/>
    <w:rsid w:val="462151D2"/>
    <w:rsid w:val="466C06C8"/>
    <w:rsid w:val="46A55C75"/>
    <w:rsid w:val="46C46571"/>
    <w:rsid w:val="472325CE"/>
    <w:rsid w:val="47AE1691"/>
    <w:rsid w:val="487B678A"/>
    <w:rsid w:val="48A408BF"/>
    <w:rsid w:val="48BA1BBF"/>
    <w:rsid w:val="48DC7D87"/>
    <w:rsid w:val="49433D1A"/>
    <w:rsid w:val="49510C15"/>
    <w:rsid w:val="49912347"/>
    <w:rsid w:val="49956E0C"/>
    <w:rsid w:val="499E1F4A"/>
    <w:rsid w:val="49A35F72"/>
    <w:rsid w:val="49EC67F0"/>
    <w:rsid w:val="4A5F7063"/>
    <w:rsid w:val="4A60751C"/>
    <w:rsid w:val="4AA90E90"/>
    <w:rsid w:val="4AC20348"/>
    <w:rsid w:val="4AEF6963"/>
    <w:rsid w:val="4B371BD9"/>
    <w:rsid w:val="4BBE3D85"/>
    <w:rsid w:val="4BCA1D45"/>
    <w:rsid w:val="4BDF5935"/>
    <w:rsid w:val="4C426A20"/>
    <w:rsid w:val="4C44466C"/>
    <w:rsid w:val="4C4F3FC2"/>
    <w:rsid w:val="4CFA195C"/>
    <w:rsid w:val="4D735EF5"/>
    <w:rsid w:val="4DDB378E"/>
    <w:rsid w:val="4DEB6631"/>
    <w:rsid w:val="4E8A59E3"/>
    <w:rsid w:val="4EF67AF1"/>
    <w:rsid w:val="4F014A44"/>
    <w:rsid w:val="4F7725CA"/>
    <w:rsid w:val="501B0707"/>
    <w:rsid w:val="502A3D56"/>
    <w:rsid w:val="503B294F"/>
    <w:rsid w:val="50A15412"/>
    <w:rsid w:val="50D76B0E"/>
    <w:rsid w:val="511F7BBF"/>
    <w:rsid w:val="51620E80"/>
    <w:rsid w:val="51713037"/>
    <w:rsid w:val="51A37125"/>
    <w:rsid w:val="51DF2A0E"/>
    <w:rsid w:val="522E017F"/>
    <w:rsid w:val="523D7669"/>
    <w:rsid w:val="52497360"/>
    <w:rsid w:val="524B6822"/>
    <w:rsid w:val="526D2DD6"/>
    <w:rsid w:val="52C03CF8"/>
    <w:rsid w:val="52FF1882"/>
    <w:rsid w:val="530D2285"/>
    <w:rsid w:val="53A0695E"/>
    <w:rsid w:val="53C27D26"/>
    <w:rsid w:val="53C766A0"/>
    <w:rsid w:val="53C85B26"/>
    <w:rsid w:val="53F17E01"/>
    <w:rsid w:val="53FB0B46"/>
    <w:rsid w:val="543E0FED"/>
    <w:rsid w:val="55175CA3"/>
    <w:rsid w:val="553E54BF"/>
    <w:rsid w:val="56334D5F"/>
    <w:rsid w:val="565518B4"/>
    <w:rsid w:val="566702C8"/>
    <w:rsid w:val="56BC5B4B"/>
    <w:rsid w:val="56DE2F1C"/>
    <w:rsid w:val="56E35960"/>
    <w:rsid w:val="56FB4453"/>
    <w:rsid w:val="57193F55"/>
    <w:rsid w:val="57367620"/>
    <w:rsid w:val="57592D79"/>
    <w:rsid w:val="57686C8A"/>
    <w:rsid w:val="57BC676A"/>
    <w:rsid w:val="581011FF"/>
    <w:rsid w:val="5813071C"/>
    <w:rsid w:val="588F053C"/>
    <w:rsid w:val="59790329"/>
    <w:rsid w:val="59A95AE8"/>
    <w:rsid w:val="59C11E38"/>
    <w:rsid w:val="59C30131"/>
    <w:rsid w:val="5A3345D9"/>
    <w:rsid w:val="5A372D30"/>
    <w:rsid w:val="5A4C7064"/>
    <w:rsid w:val="5AF37DD6"/>
    <w:rsid w:val="5B0B63EA"/>
    <w:rsid w:val="5B4F6EF2"/>
    <w:rsid w:val="5B5D0466"/>
    <w:rsid w:val="5B664310"/>
    <w:rsid w:val="5B8D4F11"/>
    <w:rsid w:val="5BE029EB"/>
    <w:rsid w:val="5C2168F2"/>
    <w:rsid w:val="5C283ECF"/>
    <w:rsid w:val="5C7E200C"/>
    <w:rsid w:val="5C8207EE"/>
    <w:rsid w:val="5D0A1661"/>
    <w:rsid w:val="5D1F1E5E"/>
    <w:rsid w:val="5D4031D9"/>
    <w:rsid w:val="5D620C1B"/>
    <w:rsid w:val="5D681792"/>
    <w:rsid w:val="5DF33B83"/>
    <w:rsid w:val="5DF66F0A"/>
    <w:rsid w:val="5DFF3060"/>
    <w:rsid w:val="5E201DA9"/>
    <w:rsid w:val="5F822336"/>
    <w:rsid w:val="5F9334F2"/>
    <w:rsid w:val="60021077"/>
    <w:rsid w:val="6080753D"/>
    <w:rsid w:val="61446C8D"/>
    <w:rsid w:val="61540221"/>
    <w:rsid w:val="615A7ECA"/>
    <w:rsid w:val="617D1584"/>
    <w:rsid w:val="617D26D3"/>
    <w:rsid w:val="61B431F8"/>
    <w:rsid w:val="61EE03D8"/>
    <w:rsid w:val="62697623"/>
    <w:rsid w:val="629E04DD"/>
    <w:rsid w:val="62A90BF3"/>
    <w:rsid w:val="62B33E4E"/>
    <w:rsid w:val="634E31D8"/>
    <w:rsid w:val="638216B1"/>
    <w:rsid w:val="63BE021D"/>
    <w:rsid w:val="63DE390E"/>
    <w:rsid w:val="64236413"/>
    <w:rsid w:val="64346DA4"/>
    <w:rsid w:val="644F7EF0"/>
    <w:rsid w:val="64A925E8"/>
    <w:rsid w:val="64EF2799"/>
    <w:rsid w:val="65206DF6"/>
    <w:rsid w:val="658F596F"/>
    <w:rsid w:val="65E82867"/>
    <w:rsid w:val="65EE4526"/>
    <w:rsid w:val="667340FA"/>
    <w:rsid w:val="66990C0E"/>
    <w:rsid w:val="66AC0A33"/>
    <w:rsid w:val="66EE2F3B"/>
    <w:rsid w:val="6711186D"/>
    <w:rsid w:val="6713450C"/>
    <w:rsid w:val="67A40A35"/>
    <w:rsid w:val="67A64FD8"/>
    <w:rsid w:val="67CA1102"/>
    <w:rsid w:val="68174DA6"/>
    <w:rsid w:val="686D54B0"/>
    <w:rsid w:val="68926E58"/>
    <w:rsid w:val="68C51F22"/>
    <w:rsid w:val="68F76B85"/>
    <w:rsid w:val="6990790E"/>
    <w:rsid w:val="69A41DA4"/>
    <w:rsid w:val="6A29520E"/>
    <w:rsid w:val="6A431A6F"/>
    <w:rsid w:val="6A5152A4"/>
    <w:rsid w:val="6A7A04AB"/>
    <w:rsid w:val="6AB51D8E"/>
    <w:rsid w:val="6B837563"/>
    <w:rsid w:val="6BCB6DE4"/>
    <w:rsid w:val="6BCC668F"/>
    <w:rsid w:val="6C152947"/>
    <w:rsid w:val="6CA74137"/>
    <w:rsid w:val="6CAA627B"/>
    <w:rsid w:val="6CE13EB7"/>
    <w:rsid w:val="6D831398"/>
    <w:rsid w:val="6D9A38B1"/>
    <w:rsid w:val="6D9D5488"/>
    <w:rsid w:val="6E3D5907"/>
    <w:rsid w:val="6E6C1015"/>
    <w:rsid w:val="6ED45113"/>
    <w:rsid w:val="6EDE1603"/>
    <w:rsid w:val="6F0A5E4B"/>
    <w:rsid w:val="6F1324B6"/>
    <w:rsid w:val="6F396999"/>
    <w:rsid w:val="6F904406"/>
    <w:rsid w:val="6F9208F0"/>
    <w:rsid w:val="6F9974B2"/>
    <w:rsid w:val="6FC40B5D"/>
    <w:rsid w:val="6FE53E10"/>
    <w:rsid w:val="703304F3"/>
    <w:rsid w:val="71224AF8"/>
    <w:rsid w:val="714B7705"/>
    <w:rsid w:val="716044AF"/>
    <w:rsid w:val="716A4F70"/>
    <w:rsid w:val="71F51D95"/>
    <w:rsid w:val="72165809"/>
    <w:rsid w:val="722862BD"/>
    <w:rsid w:val="72604DDB"/>
    <w:rsid w:val="72F52A24"/>
    <w:rsid w:val="735C078D"/>
    <w:rsid w:val="736305DA"/>
    <w:rsid w:val="738E7709"/>
    <w:rsid w:val="73E060CE"/>
    <w:rsid w:val="73EB2356"/>
    <w:rsid w:val="744C21E5"/>
    <w:rsid w:val="753203C0"/>
    <w:rsid w:val="7533222E"/>
    <w:rsid w:val="756D21B6"/>
    <w:rsid w:val="75827820"/>
    <w:rsid w:val="75915922"/>
    <w:rsid w:val="759C5407"/>
    <w:rsid w:val="75CB1DE2"/>
    <w:rsid w:val="76510A5A"/>
    <w:rsid w:val="76944BF2"/>
    <w:rsid w:val="773B3DED"/>
    <w:rsid w:val="77AF7BEA"/>
    <w:rsid w:val="78375EE6"/>
    <w:rsid w:val="788C05D2"/>
    <w:rsid w:val="78917059"/>
    <w:rsid w:val="789B62E1"/>
    <w:rsid w:val="78F10039"/>
    <w:rsid w:val="79E0793B"/>
    <w:rsid w:val="7A240D9E"/>
    <w:rsid w:val="7A6879D2"/>
    <w:rsid w:val="7A9E7FF4"/>
    <w:rsid w:val="7ABF571E"/>
    <w:rsid w:val="7AE57142"/>
    <w:rsid w:val="7B5D3356"/>
    <w:rsid w:val="7BC87B92"/>
    <w:rsid w:val="7C0B543F"/>
    <w:rsid w:val="7C7D5187"/>
    <w:rsid w:val="7C942374"/>
    <w:rsid w:val="7CBA6275"/>
    <w:rsid w:val="7CD27803"/>
    <w:rsid w:val="7D07647A"/>
    <w:rsid w:val="7D12216F"/>
    <w:rsid w:val="7D1E14C8"/>
    <w:rsid w:val="7DD20270"/>
    <w:rsid w:val="7DED33D5"/>
    <w:rsid w:val="7DFB6C25"/>
    <w:rsid w:val="7EBA60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autoRedefine/>
    <w:semiHidden/>
    <w:qFormat/>
    <w:uiPriority w:val="0"/>
    <w:rPr>
      <w:rFonts w:ascii="宋体" w:hAnsi="宋体" w:eastAsia="宋体" w:cs="宋体"/>
      <w:sz w:val="31"/>
      <w:szCs w:val="31"/>
      <w:lang w:val="en-US" w:eastAsia="en-US" w:bidi="ar-SA"/>
    </w:rPr>
  </w:style>
  <w:style w:type="paragraph" w:styleId="7">
    <w:name w:val="toc 3"/>
    <w:basedOn w:val="1"/>
    <w:next w:val="1"/>
    <w:autoRedefine/>
    <w:semiHidden/>
    <w:unhideWhenUsed/>
    <w:qFormat/>
    <w:uiPriority w:val="39"/>
    <w:pPr>
      <w:ind w:left="840" w:leftChars="400"/>
    </w:pPr>
  </w:style>
  <w:style w:type="paragraph" w:styleId="8">
    <w:name w:val="endnote text"/>
    <w:basedOn w:val="1"/>
    <w:semiHidden/>
    <w:unhideWhenUsed/>
    <w:qFormat/>
    <w:uiPriority w:val="99"/>
    <w:pPr>
      <w:snapToGrid w:val="0"/>
      <w:jc w:val="left"/>
    </w:p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unhideWhenUsed/>
    <w:qFormat/>
    <w:uiPriority w:val="39"/>
  </w:style>
  <w:style w:type="paragraph" w:styleId="12">
    <w:name w:val="toc 4"/>
    <w:basedOn w:val="1"/>
    <w:next w:val="1"/>
    <w:autoRedefine/>
    <w:semiHidden/>
    <w:unhideWhenUsed/>
    <w:qFormat/>
    <w:uiPriority w:val="39"/>
    <w:pPr>
      <w:ind w:left="1260" w:leftChars="600"/>
    </w:pPr>
  </w:style>
  <w:style w:type="paragraph" w:styleId="13">
    <w:name w:val="Subtitle"/>
    <w:basedOn w:val="1"/>
    <w:next w:val="1"/>
    <w:link w:val="27"/>
    <w:autoRedefine/>
    <w:qFormat/>
    <w:uiPriority w:val="11"/>
    <w:pPr>
      <w:spacing w:before="240" w:after="60" w:line="312" w:lineRule="auto"/>
      <w:jc w:val="center"/>
      <w:outlineLvl w:val="1"/>
    </w:pPr>
    <w:rPr>
      <w:b/>
      <w:bCs/>
      <w:kern w:val="28"/>
      <w:sz w:val="32"/>
      <w:szCs w:val="32"/>
    </w:rPr>
  </w:style>
  <w:style w:type="paragraph" w:styleId="14">
    <w:name w:val="footnote text"/>
    <w:basedOn w:val="1"/>
    <w:link w:val="25"/>
    <w:autoRedefine/>
    <w:semiHidden/>
    <w:unhideWhenUsed/>
    <w:qFormat/>
    <w:uiPriority w:val="99"/>
    <w:pPr>
      <w:snapToGrid w:val="0"/>
      <w:jc w:val="left"/>
    </w:pPr>
    <w:rPr>
      <w:sz w:val="18"/>
      <w:szCs w:val="18"/>
    </w:rPr>
  </w:style>
  <w:style w:type="paragraph" w:styleId="15">
    <w:name w:val="toc 2"/>
    <w:basedOn w:val="1"/>
    <w:next w:val="1"/>
    <w:autoRedefine/>
    <w:semiHidden/>
    <w:unhideWhenUsed/>
    <w:qFormat/>
    <w:uiPriority w:val="39"/>
    <w:pPr>
      <w:ind w:left="420" w:leftChars="200"/>
    </w:p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9">
    <w:name w:val="endnote reference"/>
    <w:basedOn w:val="18"/>
    <w:semiHidden/>
    <w:unhideWhenUsed/>
    <w:qFormat/>
    <w:uiPriority w:val="99"/>
    <w:rPr>
      <w:vertAlign w:val="superscript"/>
    </w:rPr>
  </w:style>
  <w:style w:type="character" w:styleId="20">
    <w:name w:val="footnote reference"/>
    <w:basedOn w:val="18"/>
    <w:autoRedefine/>
    <w:semiHidden/>
    <w:unhideWhenUsed/>
    <w:qFormat/>
    <w:uiPriority w:val="99"/>
    <w:rPr>
      <w:vertAlign w:val="superscript"/>
    </w:rPr>
  </w:style>
  <w:style w:type="character" w:customStyle="1" w:styleId="21">
    <w:name w:val="页眉 字符"/>
    <w:basedOn w:val="18"/>
    <w:link w:val="10"/>
    <w:autoRedefine/>
    <w:qFormat/>
    <w:uiPriority w:val="99"/>
    <w:rPr>
      <w:sz w:val="18"/>
      <w:szCs w:val="18"/>
    </w:rPr>
  </w:style>
  <w:style w:type="character" w:customStyle="1" w:styleId="22">
    <w:name w:val="页脚 字符"/>
    <w:basedOn w:val="18"/>
    <w:link w:val="9"/>
    <w:autoRedefine/>
    <w:qFormat/>
    <w:uiPriority w:val="99"/>
    <w:rPr>
      <w:sz w:val="18"/>
      <w:szCs w:val="18"/>
    </w:rPr>
  </w:style>
  <w:style w:type="character" w:customStyle="1" w:styleId="23">
    <w:name w:val="标题 1 字符"/>
    <w:basedOn w:val="18"/>
    <w:link w:val="2"/>
    <w:autoRedefine/>
    <w:qFormat/>
    <w:uiPriority w:val="9"/>
    <w:rPr>
      <w:b/>
      <w:bCs/>
      <w:kern w:val="44"/>
      <w:sz w:val="44"/>
      <w:szCs w:val="44"/>
    </w:rPr>
  </w:style>
  <w:style w:type="paragraph" w:styleId="24">
    <w:name w:val="List Paragraph"/>
    <w:basedOn w:val="1"/>
    <w:autoRedefine/>
    <w:qFormat/>
    <w:uiPriority w:val="34"/>
    <w:pPr>
      <w:ind w:firstLine="420" w:firstLineChars="200"/>
    </w:pPr>
  </w:style>
  <w:style w:type="character" w:customStyle="1" w:styleId="25">
    <w:name w:val="脚注文本 字符"/>
    <w:basedOn w:val="18"/>
    <w:link w:val="14"/>
    <w:autoRedefine/>
    <w:semiHidden/>
    <w:qFormat/>
    <w:uiPriority w:val="99"/>
    <w:rPr>
      <w:sz w:val="18"/>
      <w:szCs w:val="18"/>
    </w:rPr>
  </w:style>
  <w:style w:type="character" w:customStyle="1" w:styleId="26">
    <w:name w:val="标题 2 字符"/>
    <w:basedOn w:val="18"/>
    <w:link w:val="3"/>
    <w:autoRedefine/>
    <w:qFormat/>
    <w:uiPriority w:val="9"/>
    <w:rPr>
      <w:rFonts w:asciiTheme="majorHAnsi" w:hAnsiTheme="majorHAnsi" w:eastAsiaTheme="majorEastAsia" w:cstheme="majorBidi"/>
      <w:b/>
      <w:bCs/>
      <w:sz w:val="32"/>
      <w:szCs w:val="32"/>
    </w:rPr>
  </w:style>
  <w:style w:type="character" w:customStyle="1" w:styleId="27">
    <w:name w:val="副标题 字符"/>
    <w:basedOn w:val="18"/>
    <w:link w:val="13"/>
    <w:autoRedefine/>
    <w:qFormat/>
    <w:uiPriority w:val="11"/>
    <w:rPr>
      <w:b/>
      <w:bCs/>
      <w:kern w:val="28"/>
      <w:sz w:val="32"/>
      <w:szCs w:val="32"/>
    </w:rPr>
  </w:style>
  <w:style w:type="paragraph" w:customStyle="1" w:styleId="28">
    <w:name w:val="WPSOffice手动目录 1"/>
    <w:autoRedefine/>
    <w:qFormat/>
    <w:uiPriority w:val="0"/>
    <w:pPr>
      <w:ind w:leftChars="0"/>
    </w:pPr>
    <w:rPr>
      <w:rFonts w:ascii="Times New Roman" w:hAnsi="Times New Roman" w:eastAsia="宋体" w:cs="Times New Roman"/>
      <w:sz w:val="20"/>
      <w:szCs w:val="20"/>
    </w:rPr>
  </w:style>
  <w:style w:type="paragraph" w:customStyle="1" w:styleId="29">
    <w:name w:val="WPSOffice手动目录 2"/>
    <w:autoRedefine/>
    <w:qFormat/>
    <w:uiPriority w:val="0"/>
    <w:pPr>
      <w:ind w:leftChars="200"/>
    </w:pPr>
    <w:rPr>
      <w:rFonts w:ascii="Times New Roman" w:hAnsi="Times New Roman" w:eastAsia="宋体" w:cs="Times New Roman"/>
      <w:sz w:val="20"/>
      <w:szCs w:val="20"/>
    </w:rPr>
  </w:style>
  <w:style w:type="paragraph" w:customStyle="1" w:styleId="30">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endnotes" Target="end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50E6FB-620B-4B1A-AD69-883A479DE47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11455</Words>
  <Characters>11882</Characters>
  <Lines>25</Lines>
  <Paragraphs>7</Paragraphs>
  <TotalTime>4</TotalTime>
  <ScaleCrop>false</ScaleCrop>
  <LinksUpToDate>false</LinksUpToDate>
  <CharactersWithSpaces>11936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2023-04-19T07:08:00Z</dcterms:created>
  <dc:creator>A6088</dc:creator>
  <cp:lastModifiedBy>zzzzzzzzzzmy</cp:lastModifiedBy>
  <dcterms:modified xsi:type="dcterms:W3CDTF">2024-07-25T01:07:42Z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3C8336CB97BC4F0EB943ADA975C494C2_13</vt:lpwstr>
  </property>
</Properties>
</file>