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4"/>
          <w:szCs w:val="44"/>
          <w:lang w:val="en-US" w:eastAsia="zh-CN"/>
        </w:rPr>
      </w:pPr>
      <w:bookmarkStart w:id="0" w:name="_GoBack"/>
      <w:bookmarkEnd w:id="0"/>
      <w:r>
        <w:rPr>
          <w:rFonts w:hint="eastAsia" w:asciiTheme="majorEastAsia" w:hAnsiTheme="majorEastAsia" w:eastAsiaTheme="majorEastAsia" w:cstheme="majorEastAsia"/>
          <w:sz w:val="44"/>
          <w:szCs w:val="44"/>
          <w:lang w:val="en-US" w:eastAsia="zh-CN"/>
        </w:rPr>
        <w:t>破产管理人行使合同解除权的原则构建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——基于《企业破产法》第18条的思考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摘要：</w:t>
      </w:r>
      <w:r>
        <w:rPr>
          <w:rFonts w:hint="eastAsia" w:ascii="仿宋" w:hAnsi="仿宋" w:eastAsia="仿宋" w:cs="仿宋"/>
          <w:sz w:val="28"/>
          <w:szCs w:val="28"/>
          <w:lang w:val="en-US" w:eastAsia="zh-CN"/>
        </w:rPr>
        <w:t>《企业破产法》第十八条就双方均未履行完毕的合同作出了一般性规定，赋予了管理人继续履行合同或解除合同的选择权。该规定旨在维护全体债权人的利益，但也深刻改变了合同双方既定的利益平衡关系。这一权利的行使应当受到合理且必要的限制。第一，应当有充足的理由才能让管理人得以突破非违约方享有法定解除权这一基本法理而限制相对人的合法权益。第二，以是否实现合同目的作为合同履行完毕的判断标准，方能赋予合同解除以正当性。第三，确立债务人财产价值最大化原则、合同双方当事人利益衡平原则和公共利益原则为管理人行使合同解除权予以限制并提供了正当性基础。将实践中发展出来的审判规则与学界的理论创新相结合填补《企业破产法》第十八条的逻辑缺漏，是当下处理待履行合同问题较为恰当的方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关键词：</w:t>
      </w:r>
      <w:r>
        <w:rPr>
          <w:rFonts w:hint="eastAsia" w:ascii="仿宋" w:hAnsi="仿宋" w:eastAsia="仿宋" w:cs="仿宋"/>
          <w:sz w:val="28"/>
          <w:szCs w:val="28"/>
          <w:lang w:val="en-US" w:eastAsia="zh-CN"/>
        </w:rPr>
        <w:t>待履行合同；管理人解除权；债务人财产价值最大化原则；合同双方</w:t>
      </w:r>
      <w:r>
        <w:rPr>
          <w:rFonts w:hint="eastAsia" w:ascii="仿宋" w:hAnsi="仿宋" w:eastAsia="仿宋" w:cs="仿宋"/>
          <w:strike w:val="0"/>
          <w:dstrike w:val="0"/>
          <w:sz w:val="28"/>
          <w:szCs w:val="28"/>
          <w:lang w:val="en-US" w:eastAsia="zh-CN"/>
        </w:rPr>
        <w:t>当事人</w:t>
      </w:r>
      <w:r>
        <w:rPr>
          <w:rFonts w:hint="eastAsia" w:ascii="仿宋" w:hAnsi="仿宋" w:eastAsia="仿宋" w:cs="仿宋"/>
          <w:sz w:val="28"/>
          <w:szCs w:val="28"/>
          <w:lang w:val="en-US" w:eastAsia="zh-CN"/>
        </w:rPr>
        <w:t>利益衡平原则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一、问题的提出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联合国国际贸易法委员会《破产法立法指南》中指出“合同的处理对破产程序具有压倒一切的重要性。”</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0"/>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待履行合同，译自《美国破产法》（1978年）第365条中的“Executory Contract”一词，是破产法与非破产法交叉的一个兼具理论与实践难度的问题。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2001年，世界银行正式出台了《关于有效破产与债权人/债务人制度的准则》（以下简称准则），并在2015年根据多年破产实践经验予以了修订。《准则》中的C10条基于美国破产法典的既有实践，对破产领域中合同责任的处理问题予以规定。其分别规定了当合同履行带来“合同利益”或“净负担”的情况下，破产管理人得以选择的干预措施（包括继续履行、拒绝履行和解除合同）。</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
      </w:r>
      <w:r>
        <w:rPr>
          <w:rStyle w:val="9"/>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我国在借鉴了比较法上的破产法相关实践后</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在《中华人民共和国企业破产法》（以下简称《企业破产法》）第十八条中，赋予了管理人可解除或继续履行待履行合同的选择权。与《企业破产法》第二十五条、第四十二条和第六十九条一同构建了我国有关“待履行合同”的规范体系。</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3"/>
      </w:r>
      <w:r>
        <w:rPr>
          <w:rStyle w:val="9"/>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《企业破产法》第十八条旨在期望管理人能出于维护全体债权人利益角度，解除于债务人财产不利的合同，继续履行于债务人财产有利的合同。</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4"/>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其中更需注意的，应为管理人所享有的合同解除权。但《企业破产法》中未对解除权予以限制，这在实践中极有可能导致立法目的的落空。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就文义解释角度而言，第十八条规定只要符合“破产申请受理前成立”和“债务人和对方当事人均未履行完毕”的合同，均属于可解除的范围。仅从字面意思看，此种表述似乎已经明确了范围，但实践中出现的问题却远没有如此简单。有的管理人为了规避履职风险，依照《企业破产法》第六十九条的规定，将是否继续履行待履行合同的决策权交由债权人会议；有的破产管理人更倾向于采取“默示”的“视为解除”的方式解除待履行合同；有的管理人将所有的合同均适用第十八条的规定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就学理角度而言，第十八条实则为管理人创设了一项突破一般合同法理论的特殊法定解除权。解除权不再与是否违约相挂钩，这一规范是否具有理论正当性仍需探讨。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基于此，本文拟聚焦现有《企业破产法》第十八条带来的理论冲突与实践难题展开研究与分析，对管理人行使待履行合同解除权的标准进行规则构建，以求充分发挥破产制度的保护和挽救功能。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二、破产法上的合同解除权与合同法理论中的解除权的关系辨析</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构建《企业破产法》中破产管理人之合同解除权规则体系之前，有必要先厘清破产法中的合同解除权与合同法基本理论中的解除权的关系问题，即在破产法语境下，是否存在足够充足的理由使得破产管理人得以突破合同法的基本法理而限制相对人的合法权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合同法的基本原则，合同解除权的功能是赋予合同守约方得以从不利的合同中解脱出来的权利。我国《民法典》第五百六十二条和第五百六十三条分别规定了约定解除权和法定解除权。确有观点认为，《民法典》第五百六十三条规定的“法律规定的其他情形”为《企业破产法》第十八条提供了合法依据，但仍需更进一步的论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比较法中，有学者认为，解除作为一种防御性手段，具有剥夺对方当事人期待的合同利益（合同利益的剥夺）的作用。通过解除受害当事人得以从债务中解脱出来。</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5"/>
      </w:r>
      <w:r>
        <w:rPr>
          <w:rStyle w:val="9"/>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根据《企业破产法》第十八条的规定，破产管理人被赋予了本应当是合同非违约方方可享有的法定合同解除权。换而言之，债务人可因破产这一因素，即便作为违约方，也可享有法定的解除权。</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然而，作为破产法的基本原则，除非存在破产法上的压倒性理由，当事人的权利义务不应仅因破产的发生而改变。</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6"/>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合同作为双方当事人的一种事前约定，在纷繁复杂、瞬息万变的交易世界中，始终是约束交易方的一把“法锁”。即便交易一方在订立合同后发现其置于了一种“不利益”之状态，也不能违背事先的承诺而随意解除合同。而法定合同解除权的制度构建，是基于因违约方原因而造成守约方的“不利益”状态，从而使守约方得以从“枷锁”中解脱出来。基于此，合同法理论中的法定解除权是赋予守约方的这一理论是没有异议的。</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7"/>
      </w:r>
      <w:r>
        <w:rPr>
          <w:rStyle w:val="9"/>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而直接赋予破产管理人合同解除权，突破了合同法理论的基本原理。尽管制度的初衷是便于管理人使债务人从不利的合同中解放出来，增加或者维持住破产财产。但实践中，有的管理人为了追求破产财产的增加，无视合同相对人的合法利益而机械或肆意地解除合同。尽管《企业破产法》第五十三条规定，对方当事人以因合同解除所产生的损害赔偿请求权申报债权。然后这一规定对于被解除的合同对方当事人是极为不公平的。若继续履行合同，则合同相对人理论上得到全部履行；而解除后，合同相对人申报债权后，也仅能按照清偿比例受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这一问题的根源是如何认识立法赋予管理人的解除权。解除权旨在解除于债务人财产价值有所减损的合同，以“牺牲”合同相对人的部分利益来提升全体债权人的利益。在此种利益博弈中，立法者作出了此种价值选择。但《企业破产法》第十八条如何与合同法基本法理、我国《民法典》合同编更好地衔接仍待进一步研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三、待履行合同的判定问题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根据《企业破产法》第十八条的规定，管理人享有解除合同的权利，但却未对合同的类型予以明确。因此，有必要厘清“待履行合同”的认定标准与边界以此克服法律条款带来的不确定性。</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（一）待履行合同之“合同”概念明晰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破产语境下，待履行“合同”所言“合同”乃指双务合同，而不包含单务合同。单务合同系合同一方只承担义务不享有权利，而另一方只享有权利而不承担义务的合同。常见的单务合同有赠与合同、无偿保管合同等。仅合同一方负有义务，自不涉及“均未履行完毕”的可能。故待履行合同不包括单务合同这一认知在理论和实践中不存争议。例如，在山东天圆铜业有限公司、青岛银行股份有限公司台湾路支行普通破产债权确认纠纷再审审查与审判监督民事案中</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8"/>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再审申请人（天圆公司）认为《最高额保证合同》约定的履行期限未届满，青岛银行的放款义务和天圆公司的保证义务均未履行完毕，属于双方未履行完毕的合同，管理人有权决定解除或者继续履行。法院认为，保证合同属于单务合同，而该条针对的是双务合同，不适用于本案。又如，在浙江言信诚仓储物流服务有限公司、浙江格洛斯无缝钢管有限公司破产债权确认纠纷二审民事案中</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9"/>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法院认为，企业破产法第十八条规定适用的双方均未履行完毕的合同，系指双方互负对等主给付义务、且双方主给付义务均未履行完毕的合同，涉案言信诚物流公司、格洛斯监管费支付协议作为单务合同不适用第十八条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（二）待履行合同之“履行状态”内涵阐释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双务合同的履行状态包括以下四种：合同双方均已履行完毕、被受理破产申请的债务人单方未履行完毕、被受理破产申请的债务人所签订的合同相对人未履行完毕和双方均未履行完毕。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双方均已履行完毕的合同，合同权利义务已经终止，自然不涉及继续履行的问题。当被受理破产申请的债务人为负有给付义务的一方，应当终止履行，否则将会构成债务人对债权人的个别清偿，违反《企业破产法》第十六条的禁止性规定。因债务人未履行合同而使合同相对人受有损失的，合同对方当事人可依照《企业破产法》第四十四条之规定，向管理人申报债权，并依照破产财产分配方案受偿。反之，被受理破产申请的债务人的合同对方当事人单方未履行完毕的合同应当如何履行，《企业破产法》未对此作出规定，但管理人可以依照《民法典》第五百零九条</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0"/>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的规定，请求未履行合同义务的合同相对方继续向债务人履行合同。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第四种情况，即本文所讨论的双方均未履行完毕的合同。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待履行合同的识别核心问题即对“未履行完毕”状态的确认。未履行主给付义务的合同属于未履行完毕合同这一点无须赘言。争议点在于，若已履行主给付义务，而未履行从给付义务或附随义务，是否构成未履行完毕？因此，在对合同所涉权利义务关系分析的基础上，明确履行所指的客体（主给付义务或从给付义务或附随义务），对实践中正确适用第十八条具有极为重要的作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有学者认为，只要主要义务履行完毕或者已经达到合同目的即可视为“履行完毕”。</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1"/>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例如，根据《民法典》第七百零三条之规定，租赁合同是出租人将租赁物交付承租人使用、收益，承租人支付租金的合同。该条在对租赁合同进行界定时，对出租方、承租方义务的规定即属于各自的主给付义务。若合同双方完成这一对处于对价关系的义务时，可以视为租赁合同之目的已然实现。也有学者认为，合同的完全履行需要考察主合同义务与从义务是否都履行完毕。</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2"/>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从给付义务可根据法律规定或者合同约定而发生</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3"/>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，其本身不能决定合同关系的类型，仅具有辅助主给付义务的功能，以确保债权人的利益能够获得最大满足的义务。</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4"/>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如《民法典》第八百二十七条规定的货运合同中托运人对货物的包装义务。若主合同义务已完成，仅因从合同义务未履行而导致管理人得以解除合同，显然有失公平。</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同样的，在破产实践中，难免会出现债务人履行瑕疵。若该瑕疵是由于附随义务</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5"/>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未履行而导致的，此时若管理人得以据此解除合同，实则极大地损害了债权人的利益。司法实践中普遍认为，若当事人一方已经履行了合同主给付义务而只是违反合同附随义务，则另一方不得行使先履行抗辩权，也就是说，一方不能以对方未履行附随义务为由，主张己方无需履行合同主给付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笔者以为，在破产语境下理解合同的履行状态，不能脱离民法理论中关于合同的基本原则。对义务之区分是为明确究竟哪一义务对于合同目的的实现具有更为重要的作用。判断是否履行完毕，应以合同目的之实现作为判断标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主给付义务在一定程度上体现了合同目的，因而，在司法实践中，有的判决也将主给付义务的履行作为合同是否履行完毕的依据。例如，在李定钦、温州市天鸿房地产开发有限公司对外追收债权纠纷案中</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6"/>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法院认为“上述事实亦足以证明李定钦对支付购房款的主要义务尚未履行完毕。根据双方当事人在二审中的一致陈述，天鸿房开公司亦尚未为涉案房屋安装合同约定的电梯，由此可见，双方对各自的合同义务均未履行完毕。”又如，在宁波恒美化纤有限公司、宁波杭州湾新区常润化纤有限公司与破产有关的纠纷案中</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7"/>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法院认为“对于租赁期尚未届满的租赁合同，实属于双方均未履行完毕的合同，出租方的义务并非仅交付房屋的使用权，而是在租赁期内还负有保障房屋使用、管理和监督的义务，该义务具有阶段性和持续性，只有在租赁合同履行期限届满后，出租方的义务才履行完毕。因此，在租赁结束之前，常润公司破产管理人有权适用《中国人民共和国企业破产法》第十八条的规定，依法解除租赁合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崔建远教授认为，虽然原则上足以导致合同被解除的违约行为限于违反主合同义务的行为，对从义务及附随义务的违反一般不会导致合同的解除，但是若对从义务及附随义务的违反将导致合同目的的落空时，相对人亦得解除合同。</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8"/>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笔者也赞同这一观点。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仅以主给付义务的履行完毕与合同履行完毕划上等号，显然是片面的。而以合同目的的实现作为该问题考虑的出发点与归宿，将主从义务、附随义务与合同目的相关联，以此来论证合同未履行完毕，方能赋予合同解除以正当性。</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四、管理人行使解除权的原则构建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合同目的的实现与否为解题工具，一定程度上回答了合同履行状态的判断问题。但此前提是合同义务与合同目的的实现具有较强的关联关系。在破产实践中，错综复杂的合同权利义务关系也给这一标准带来了诸多考验。这一标准并不能完全回应实践需求时，就应从破产法的本质与价值出发，指引管理人对解除权的行使做出合理的判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（一）债务人财产价值最大化原则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债务人财产价值最大化原则是理解破产法的突破口和切入点。管理人对合同选择权的运用足以变更原合同权利义务关系。这一原则对理解《企业破产法》第十八条对债务人的立法倾斜十分重要。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破产的基本程序即破产管理人仅就债务人财产向债权人清偿。债务人财</w:t>
      </w:r>
      <w:r>
        <w:rPr>
          <w:rFonts w:hint="eastAsia" w:ascii="仿宋" w:hAnsi="仿宋" w:eastAsia="仿宋" w:cs="仿宋"/>
          <w:sz w:val="28"/>
          <w:szCs w:val="28"/>
          <w:u w:val="none"/>
          <w:lang w:val="en-US" w:eastAsia="zh-CN"/>
        </w:rPr>
        <w:t>产也叫“破</w:t>
      </w:r>
      <w:r>
        <w:rPr>
          <w:rFonts w:hint="eastAsia" w:ascii="仿宋" w:hAnsi="仿宋" w:eastAsia="仿宋" w:cs="仿宋"/>
          <w:sz w:val="28"/>
          <w:szCs w:val="28"/>
          <w:lang w:val="en-US" w:eastAsia="zh-CN"/>
        </w:rPr>
        <w:t>产财团”。根据《企业破产法》第三十条、第一百零七条规定，我国以破产宣告为分界线，在其前后分别对债务人财产采用了“债务人财产”和“破产财产”二词，其本质均为法人财产，二者范围是一致的。</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19"/>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《最高人民法院关于审理企业破产案件若干问题的规定》第六十四条</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0"/>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，也将破产财产定义为破产宣告时、破产宣告后至破产程序终结前的所有的、经营管理的或取得的财产。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债务人财产的确定范围，存在固定主义和膨胀主义两种模式。固定主义是指债务人财产在债务人破产申请时或宣告破产时即确定；膨胀主义是指债务人财产包括从破产受理时债务人的静态财产到破产程序终结前债务人取得的财产。根据《企业破产法》第三十条的规定</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1"/>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可知，我国对债务人财产的范围采膨胀主义立法模式。因此，除了破产受理时债权人财产外，破产管理人在破产程序终结前依法追回的财产或合法取得的财产均被纳入债务人财产范围。因此，破产管理人如何精准把握债务人财产的范围并实现合法有效追回，事关破产程序能否顺利进行、债权人能否得到最大化清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债务人财产总值是整个破产程序中对债权人和债务人利益分配的基础。管理人的职责不仅是要尽可能保全、追回债务人的财产，更进一步而言，是要实现债务人财产的增值。换而言之，管理人不应将破产法赋予的这项权利变质为破产财产的收集工具。债务人财产价值最大化并非财产“归集”的最大化，而应当是财产价值“实现”的最大化。其次，财产价值的最大化必定要求管理人在作出选择（继续履行或解除）时进行“得失计算”。这一观点，也已在司法实践中有所彰显。例如，在郑健飞与嘉粤集团有限公司破产债权确认纠纷申请再审民事案中</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2"/>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法院反复重申“管理人有权以维护破产财产价值最大化为原则，根据具体情况决定”“但管理人为了破产财产价值最大化，有权拒绝履行债务，是破产法规定的基本精神。”又如，在Ａ公司、Ｂ公司确认合同效力纠纷民事二审民事案中</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3"/>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法院认为“《中华人民共和国企业破产法》赋予管理人‘使财产的价值达到减少负债和价值最大化’的合同解除权”“由B公司管理人代表全体债权人向A公司发出解除双方房屋租赁合同的通知，既有利于抵押权人担保债权的实现，又有利于破产财产价值最大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当债务人财产能够实现保全甚至增值时，债权人也能获得最大化的清偿。就待履行合同而言，若管理人在保全或追回的财产系“负收益”的，那继续履行合同便丧失了意义，也有违管理人忠实义务。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实现债务人财产价值最大化应当贯穿管理人履职的始终，并以此作为做出重大决策时的考量依据，避免管理人滥用解除权或肆意解除合同，背离提升债务人财产价值的初衷。破产法的价值即通过破产条款和破产程序，尽可能拯救债务人，提升债务人财产的价值，尽最大可能实现债权人利益；而将实现债务人财产最大化原则予以明确，也彰显了破产法的独特价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（二）合同双方当事人利益衡平原则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尽管债务人财产价值最大化原则系处理待履行合同时考虑的首要原则，但对其也并非没有限制。其一便是，在实践中，不能为了提升债务人财产价值而使合同相对人等利害关系人的利益遭受不当减损。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破产法》第十八条赋予管理人对于待履行合同的挑拣履行权，目的在于最大限度地实现破产财产价值的最大化和维护债权人的权益，但是给予破产债务人特殊保护并不以剥夺合同相对人的合法权利为基础，法律应衡平双方当事人的利益。故在第十八条中同时规定，对合同双方通知与答复的时间限制，以敦促管理人勤勉履职。而这一规定，在实践中也出现了不当适用。管理人倾向于采取“默示解除”的方式，即时限届满视为合同解除。在此基础上，又进一步变形为只有“发出继续履行合同的通知”才能“继续履行合同”。这一逻辑已极大地偏离了法条本意。第十八条所言“通知”之目的系敦促管理人尽快通知债务人对合同履行做出表态，以加快破产进程，减少双方损失。若双方已继续履行合同，那应当以当事人的内心真意代替通知这一程序。因此，以债务人“未做表示”代替“视为解除”更具合理性，也更能消除实践中由此法律拟制所造成的歧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双方当事人利益衡平原则要求管理人在面临解除或履行合同抉择时，须综合考虑合同双方的利益得失，不应为了债务人财产价值最大化的目的，而忽视合同相对方的利益。“破产管理人若使待履行合同相对方利益遭受巨大损失，以此实现债务人财产价值轻微增值的行为是极不妥当的。”</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4"/>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例如，在浙江泰达船舶修造有限公司、朱昌湖等海事海商纠纷案中</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5"/>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法院认为“但该项权利并非可任意行使，应当遵循公平原则适当考量权利行使给对方当事人可能造成的不利影响，合理平衡双方利益。原告管理人单方决定解除涉案租赁合同，势必严重损害被告和第三人乃至船舶定造方、次承租人、从业人员等相关利害关系人的合法权益，影响社会和谐稳定，不符合利益平衡原则的一般要求，且可能降低其他破产债权最终从破产财产中受偿的数额。”法院的说理部分往往会考虑合同签订时间与进入破产程序时间的间隔、合同双方为履行合同已付出的成本、解除合同可能带来的后果等因素综合论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将这一原则纳入规则中，使得管理人须考虑到合同相对人的利益，由此，在一定程度上避免了管理人机械解除合同，也使得公平价值在破产法中予以重申与体现。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除此之外，还应当注重对社会公共利益的维护。尤其是在水电、基础建设等与民生息息相关的领域更应当谨慎对待。破产法的功能也体现为，通过破产工作实现资源重新配置，助推建设现代化经济体系。</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6"/>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因此，合同相对方的利益的保护和社会公共利益都不应当被忽视。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五、结语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破产法的规则设计应紧密围绕其基本功能和立法目的展开，准确定位破产法的功能和立法目的对立法规则的完善有着十分重要的意义。</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7"/>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根据破</w:t>
      </w:r>
      <w:r>
        <w:rPr>
          <w:rFonts w:hint="eastAsia" w:ascii="仿宋" w:hAnsi="仿宋" w:eastAsia="仿宋" w:cs="仿宋"/>
          <w:sz w:val="28"/>
          <w:szCs w:val="28"/>
          <w:u w:val="none"/>
          <w:lang w:val="en-US" w:eastAsia="zh-CN"/>
        </w:rPr>
        <w:t>产法公平清偿的原则，合同相对人本应当与其他普通债权人一样平等受偿</w:t>
      </w:r>
      <w:r>
        <w:rPr>
          <w:rFonts w:hint="eastAsia" w:ascii="仿宋" w:hAnsi="仿宋" w:eastAsia="仿宋" w:cs="仿宋"/>
          <w:sz w:val="28"/>
          <w:szCs w:val="28"/>
          <w:lang w:val="en-US" w:eastAsia="zh-CN"/>
        </w:rPr>
        <w:t>。但《企业破产法》第十八条的制度设计打破了这一平衡。普通债权人的合同预期利益因破产程序的进行而</w:t>
      </w:r>
      <w:r>
        <w:rPr>
          <w:rFonts w:hint="eastAsia" w:ascii="仿宋" w:hAnsi="仿宋" w:eastAsia="仿宋" w:cs="仿宋"/>
          <w:sz w:val="28"/>
          <w:szCs w:val="28"/>
          <w:u w:val="none"/>
          <w:lang w:val="en-US" w:eastAsia="zh-CN"/>
        </w:rPr>
        <w:t>降低</w:t>
      </w:r>
      <w:r>
        <w:rPr>
          <w:rFonts w:hint="eastAsia" w:ascii="仿宋" w:hAnsi="仿宋" w:eastAsia="仿宋" w:cs="仿宋"/>
          <w:sz w:val="28"/>
          <w:szCs w:val="28"/>
          <w:lang w:val="en-US" w:eastAsia="zh-CN"/>
        </w:rPr>
        <w:t>，但继续履行合同的相对人却可按照原合同的约定继续享有合同利益。其背后逻辑即，赋予继续履行合同当事人优于其他普通债权人的待遇，</w:t>
      </w:r>
      <w:r>
        <w:rPr>
          <w:rFonts w:hint="eastAsia" w:ascii="仿宋" w:hAnsi="仿宋" w:eastAsia="仿宋" w:cs="仿宋"/>
          <w:sz w:val="28"/>
          <w:szCs w:val="28"/>
          <w:u w:val="none"/>
          <w:lang w:val="en-US" w:eastAsia="zh-CN"/>
        </w:rPr>
        <w:t>从而提升</w:t>
      </w:r>
      <w:r>
        <w:rPr>
          <w:rFonts w:hint="eastAsia" w:ascii="仿宋" w:hAnsi="仿宋" w:eastAsia="仿宋" w:cs="仿宋"/>
          <w:sz w:val="28"/>
          <w:szCs w:val="28"/>
          <w:lang w:val="en-US" w:eastAsia="zh-CN"/>
        </w:rPr>
        <w:t>破产财产的整体收益和提升债权人的受偿利益。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理人可单方选择继续履行或者解除合同，这让合同相对方是继续获得合同利益或是参与债权分配，均取决于管理人的单方判断。一方面，应当充分尊重管理人运用其法学专业素养与商业判断思维作出的商业决策，让管理人充分发挥主观能动性。正如，有学者所说，企业的经营决策是一项法院无法承担的任务。</w:t>
      </w:r>
      <w:r>
        <w:rPr>
          <w:rStyle w:val="9"/>
          <w:rFonts w:hint="eastAsia" w:ascii="仿宋" w:hAnsi="仿宋" w:eastAsia="仿宋" w:cs="仿宋"/>
          <w:sz w:val="28"/>
          <w:szCs w:val="28"/>
          <w:lang w:val="en-US" w:eastAsia="zh-CN"/>
        </w:rPr>
        <w:t>[</w:t>
      </w:r>
      <w:r>
        <w:rPr>
          <w:rStyle w:val="9"/>
          <w:rFonts w:hint="eastAsia" w:ascii="仿宋" w:hAnsi="仿宋" w:eastAsia="仿宋" w:cs="仿宋"/>
          <w:sz w:val="28"/>
          <w:szCs w:val="28"/>
          <w:lang w:val="en-US" w:eastAsia="zh-CN"/>
        </w:rPr>
        <w:endnoteReference w:id="28"/>
      </w:r>
      <w:r>
        <w:rPr>
          <w:rStyle w:val="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另一方面，也应当将管理人的此种自由限制在一定范围之内，要求其应当审慎行使合同解除权。对管理人行权予以必要且合理的限制，也应当是此项制度的题中应有之义。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参考文献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[1]刘颖.论破产程序中合同相对人的解除权[J].政法论坛,2024,  42(02).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[2]武诗敏.破产管理人待履行合同选择权行使的限制[J].法商研究, 2023, 40(03).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[3]石一峰.《民法典》下破产管理人待履行合同选择权的双重限制 [J].法学家,2023,(02).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[4]丁燕,尹栋.论破产管理人待履行合同解除权的限制[J].法律适用, 2022, (03).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[5]陈本寒,陈超然. 破产管理人合同解除权限制问题研究[J].烟台大学学报(哲学社会科学版), 2018, 31(03).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[6]范志勇.论破产程序中所有权保留的法律效力[J].上海交通大学学报(哲学社会科学版), 2024,32(01).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[7]武诗敏.重塑破产程序中的待履行合同——以“限缩的功能主义”为视角[J].法学评论,2024,42(01).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[8]庄加园,段磊.待履行合同解除权之反思[J].清华法学,2019,13 (05).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[9]金春.破产法视角下的仲裁:实体与程序[J].当代法学,2018,32 (05).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[10]王欣新,乔博娟.论破产程序中未到期不动产租赁合同的处理方式[J].法学杂志,2015,36(03).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[11]王欣新,余艳萍.论破产程序中待履行合同的处理方式及法律效果[J].法学杂志, 2010,31(06).  </w:t>
      </w:r>
    </w:p>
    <w:p>
      <w:pPr>
        <w:rPr>
          <w:rFonts w:hint="eastAsia" w:ascii="仿宋" w:hAnsi="仿宋" w:eastAsia="仿宋" w:cs="仿宋"/>
          <w:sz w:val="28"/>
          <w:szCs w:val="28"/>
          <w:lang w:val="en-US" w:eastAsia="zh-CN"/>
        </w:rPr>
      </w:pPr>
    </w:p>
    <w:p>
      <w:pPr>
        <w:rPr>
          <w:rFonts w:hint="eastAsia" w:ascii="仿宋" w:hAnsi="仿宋" w:eastAsia="仿宋" w:cs="仿宋"/>
          <w:lang w:val="en-US" w:eastAsia="zh-CN"/>
        </w:rPr>
      </w:pP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58">
    <w:p>
      <w:r>
        <w:separator/>
      </w:r>
    </w:p>
  </w:endnote>
  <w:endnote w:type="continuationSeparator" w:id="59">
    <w:p>
      <w:r>
        <w:continuationSeparator/>
      </w:r>
    </w:p>
  </w:endnote>
  <w:endnote w:id="0">
    <w:p>
      <w:pPr>
        <w:pStyle w:val="4"/>
        <w:snapToGrid w:val="0"/>
      </w:pPr>
      <w:r>
        <w:rPr>
          <w:rStyle w:val="9"/>
          <w:sz w:val="21"/>
          <w:szCs w:val="32"/>
        </w:rPr>
        <w:t>[</w:t>
      </w:r>
      <w:r>
        <w:rPr>
          <w:rStyle w:val="9"/>
          <w:sz w:val="21"/>
          <w:szCs w:val="32"/>
        </w:rPr>
        <w:endnoteRef/>
      </w:r>
      <w:r>
        <w:rPr>
          <w:rStyle w:val="9"/>
          <w:sz w:val="21"/>
          <w:szCs w:val="32"/>
        </w:rPr>
        <w:t>]</w:t>
      </w:r>
      <w:r>
        <w:t xml:space="preserve"> </w:t>
      </w:r>
      <w:r>
        <w:rPr>
          <w:rFonts w:hint="eastAsia"/>
          <w:lang w:val="en-US" w:eastAsia="zh-CN"/>
        </w:rPr>
        <w:t xml:space="preserve">联合国国际贸易法委员会《破产法立法指南》中指出：“随着经济发展，经济财富可能越来越多地包在合同中或为合同所控制。因此，合同的处理对破产程序具有压倒一切的重要性”。See </w:t>
      </w:r>
      <w:r>
        <w:rPr>
          <w:rFonts w:hint="default"/>
          <w:lang w:val="en-US" w:eastAsia="zh-CN"/>
        </w:rPr>
        <w:t>UNCITRAL,</w:t>
      </w:r>
      <w:r>
        <w:rPr>
          <w:rFonts w:hint="eastAsia"/>
          <w:lang w:val="en-US" w:eastAsia="zh-CN"/>
        </w:rPr>
        <w:t>Legislative Guide on Insolvency Law</w:t>
      </w:r>
      <w:r>
        <w:rPr>
          <w:rFonts w:hint="default"/>
          <w:lang w:val="en-US" w:eastAsia="zh-CN"/>
        </w:rPr>
        <w:t>,</w:t>
      </w:r>
      <w:r>
        <w:rPr>
          <w:rFonts w:hint="eastAsia"/>
          <w:lang w:val="en-US" w:eastAsia="zh-CN"/>
        </w:rPr>
        <w:t>Parts One and Two</w:t>
      </w:r>
      <w:r>
        <w:rPr>
          <w:rFonts w:hint="default"/>
          <w:lang w:val="en-US" w:eastAsia="zh-CN"/>
        </w:rPr>
        <w:t>,</w:t>
      </w:r>
      <w:r>
        <w:rPr>
          <w:rFonts w:hint="eastAsia"/>
          <w:lang w:val="en-US" w:eastAsia="zh-CN"/>
        </w:rPr>
        <w:t>Article 108</w:t>
      </w:r>
      <w:r>
        <w:rPr>
          <w:rFonts w:hint="default"/>
          <w:lang w:val="en-US" w:eastAsia="zh-CN"/>
        </w:rPr>
        <w:t>,</w:t>
      </w:r>
      <w:r>
        <w:rPr>
          <w:rFonts w:hint="eastAsia"/>
          <w:lang w:val="en-US" w:eastAsia="zh-CN"/>
        </w:rPr>
        <w:t>New York</w:t>
      </w:r>
      <w:r>
        <w:rPr>
          <w:rFonts w:hint="default"/>
          <w:lang w:val="en-US" w:eastAsia="zh-CN"/>
        </w:rPr>
        <w:t>:</w:t>
      </w:r>
      <w:r>
        <w:rPr>
          <w:rFonts w:hint="eastAsia"/>
          <w:lang w:val="en-US" w:eastAsia="zh-CN"/>
        </w:rPr>
        <w:t>United Nations</w:t>
      </w:r>
      <w:r>
        <w:rPr>
          <w:rFonts w:hint="default"/>
          <w:lang w:val="en-US" w:eastAsia="zh-CN"/>
        </w:rPr>
        <w:t>,</w:t>
      </w:r>
      <w:r>
        <w:rPr>
          <w:rFonts w:hint="eastAsia"/>
          <w:lang w:val="en-US" w:eastAsia="zh-CN"/>
        </w:rPr>
        <w:t>2006</w:t>
      </w:r>
      <w:r>
        <w:rPr>
          <w:rFonts w:hint="default"/>
          <w:lang w:val="en-US" w:eastAsia="zh-CN"/>
        </w:rPr>
        <w:t>,</w:t>
      </w:r>
      <w:r>
        <w:rPr>
          <w:rFonts w:hint="eastAsia"/>
          <w:lang w:val="en-US" w:eastAsia="zh-CN"/>
        </w:rPr>
        <w:t>p</w:t>
      </w:r>
      <w:r>
        <w:rPr>
          <w:rFonts w:hint="default"/>
          <w:lang w:val="en-US" w:eastAsia="zh-CN"/>
        </w:rPr>
        <w:t>.</w:t>
      </w:r>
      <w:r>
        <w:rPr>
          <w:rFonts w:hint="eastAsia"/>
          <w:lang w:val="en-US" w:eastAsia="zh-CN"/>
        </w:rPr>
        <w:t>119</w:t>
      </w:r>
      <w:r>
        <w:rPr>
          <w:rFonts w:hint="default"/>
          <w:lang w:val="en-US" w:eastAsia="zh-CN"/>
        </w:rPr>
        <w:t>.</w:t>
      </w:r>
    </w:p>
  </w:endnote>
  <w:endnote w:id="1">
    <w:p>
      <w:pPr>
        <w:pStyle w:val="3"/>
        <w:snapToGrid w:val="0"/>
      </w:pPr>
      <w:r>
        <w:rPr>
          <w:rStyle w:val="9"/>
        </w:rPr>
        <w:t>[</w:t>
      </w:r>
      <w:r>
        <w:rPr>
          <w:rStyle w:val="9"/>
        </w:rPr>
        <w:endnoteRef/>
      </w:r>
      <w:r>
        <w:rPr>
          <w:rStyle w:val="9"/>
        </w:rPr>
        <w:t>]</w:t>
      </w:r>
      <w:r>
        <w:t xml:space="preserve"> </w:t>
      </w:r>
      <w:r>
        <w:rPr>
          <w:rFonts w:hint="eastAsia" w:asciiTheme="minorHAnsi" w:hAnsiTheme="minorHAnsi" w:eastAsiaTheme="minorEastAsia" w:cstheme="minorBidi"/>
          <w:kern w:val="2"/>
          <w:sz w:val="18"/>
          <w:szCs w:val="24"/>
          <w:lang w:val="en-US" w:eastAsia="zh-CN" w:bidi="ar-SA"/>
        </w:rPr>
        <w:t>深圳市中级人民法院课题组,胡志光,景晓晶,等. 世界银行《关于有效破产与债权人/债务人制度的准则》 [J]. 中国应用法学, 2019, (02): 176-199.其中C10.1规定：为实现破产程序的目标，该体系应当允许以双方尚未全面履行义务的合同履行方式进行干预。这类干预包括可能包括继续履行、拒绝履行和合同转让。C10.2规定：为获得有履行价值的合同利益，破产代表人应当可以选择继续履行或合同义务。C10.3规定：当合同履行成为破产财产的净负担时，破产代表人应当有权拒绝履行或解除合同，并承担因不履行而产生的不利后果。</w:t>
      </w:r>
    </w:p>
  </w:endnote>
  <w:endnote w:id="2">
    <w:p>
      <w:pPr>
        <w:pStyle w:val="3"/>
        <w:snapToGrid w:val="0"/>
      </w:pPr>
      <w:r>
        <w:rPr>
          <w:rStyle w:val="9"/>
        </w:rPr>
        <w:t>[</w:t>
      </w:r>
      <w:r>
        <w:rPr>
          <w:rStyle w:val="9"/>
        </w:rPr>
        <w:endnoteRef/>
      </w:r>
      <w:r>
        <w:rPr>
          <w:rStyle w:val="9"/>
        </w:rPr>
        <w:t>]</w:t>
      </w:r>
      <w:r>
        <w:t xml:space="preserve"> </w:t>
      </w:r>
      <w:r>
        <w:rPr>
          <w:rFonts w:hint="eastAsia" w:asciiTheme="minorHAnsi" w:hAnsiTheme="minorHAnsi" w:eastAsiaTheme="minorEastAsia" w:cstheme="minorBidi"/>
          <w:kern w:val="2"/>
          <w:sz w:val="18"/>
          <w:szCs w:val="24"/>
          <w:lang w:val="en-US" w:eastAsia="zh-CN" w:bidi="ar-SA"/>
        </w:rPr>
        <w:t>《美国破产法》第365条（a）和《德国破产法》第103条均赋予了管理人继续履行合同或拒绝履行合同的选择权。《日本破产法》第53条第1款赋予管理人继续履行合同或者解除合同的选择权。</w:t>
      </w:r>
    </w:p>
  </w:endnote>
  <w:endnote w:id="3">
    <w:p>
      <w:pPr>
        <w:pStyle w:val="4"/>
        <w:snapToGrid w:val="0"/>
        <w:rPr>
          <w:rFonts w:hint="eastAsia"/>
          <w:lang w:val="en-US" w:eastAsia="zh-CN"/>
        </w:rPr>
      </w:pPr>
      <w:r>
        <w:rPr>
          <w:rStyle w:val="9"/>
          <w:sz w:val="21"/>
          <w:szCs w:val="32"/>
        </w:rPr>
        <w:t>[</w:t>
      </w:r>
      <w:r>
        <w:rPr>
          <w:rStyle w:val="9"/>
          <w:sz w:val="21"/>
          <w:szCs w:val="32"/>
        </w:rPr>
        <w:endnoteRef/>
      </w:r>
      <w:r>
        <w:rPr>
          <w:rStyle w:val="9"/>
          <w:sz w:val="21"/>
          <w:szCs w:val="32"/>
        </w:rPr>
        <w:t>]</w:t>
      </w:r>
      <w:r>
        <w:t xml:space="preserve"> </w:t>
      </w:r>
      <w:r>
        <w:rPr>
          <w:rFonts w:hint="eastAsia"/>
          <w:lang w:eastAsia="zh-CN"/>
        </w:rPr>
        <w:t>《</w:t>
      </w:r>
      <w:r>
        <w:rPr>
          <w:rFonts w:hint="eastAsia"/>
          <w:lang w:val="en-US" w:eastAsia="zh-CN"/>
        </w:rPr>
        <w:t>中华人民共和国企业破产法》第十八条：“人民法院受理破产申请后，管理人对破产申请受理前成立而债务人和对方当事人均未履行完毕的合同有权决定解除或者继续履行，并通知对方当事人。管理人自破产申请受理之日起二个月内未通知对方当事人，或者自收到对方当事人催告之日起三十日内未答复的，视为解除合同。  管理人决定继续履行合同的，对方当事人应当履行；但是，对方当事人有权要求管理人提供担保。管理人不提供担保的，视为解除合同。”</w:t>
      </w:r>
    </w:p>
    <w:p>
      <w:pPr>
        <w:pStyle w:val="4"/>
        <w:snapToGrid w:val="0"/>
        <w:rPr>
          <w:rFonts w:hint="eastAsia"/>
          <w:lang w:val="en-US" w:eastAsia="zh-CN"/>
        </w:rPr>
      </w:pPr>
      <w:r>
        <w:rPr>
          <w:rFonts w:hint="eastAsia"/>
          <w:lang w:val="en-US" w:eastAsia="zh-CN"/>
        </w:rPr>
        <w:t>第二十五条：“管理人履行下列职责：……（五）在第一次债权人会议召开之前，决定继续或者停止债务人的营业；……”</w:t>
      </w:r>
    </w:p>
    <w:p>
      <w:pPr>
        <w:pStyle w:val="4"/>
        <w:numPr>
          <w:ilvl w:val="0"/>
          <w:numId w:val="0"/>
        </w:numPr>
        <w:snapToGrid w:val="0"/>
        <w:rPr>
          <w:rFonts w:hint="eastAsia"/>
          <w:lang w:val="en-US" w:eastAsia="zh-CN"/>
        </w:rPr>
      </w:pPr>
      <w:r>
        <w:rPr>
          <w:rFonts w:hint="eastAsia"/>
          <w:lang w:val="en-US" w:eastAsia="zh-CN"/>
        </w:rPr>
        <w:t>第四十二条：“人民法院受理破产申请后发生的下列债务，为共益债务：（一） 因管理人或者债务人请求对方当事人履行双方均未履行完毕的合同所产生的债务；……（四） 为债务人继续营业而应支付的劳动报酬和社会保险费用以及由此产生的其他债务；……”</w:t>
      </w:r>
    </w:p>
    <w:p>
      <w:pPr>
        <w:pStyle w:val="4"/>
        <w:snapToGrid w:val="0"/>
      </w:pPr>
      <w:r>
        <w:rPr>
          <w:rFonts w:hint="eastAsia"/>
          <w:lang w:val="en-US" w:eastAsia="zh-CN"/>
        </w:rPr>
        <w:t>第六十九条：“</w:t>
      </w:r>
      <w:r>
        <w:rPr>
          <w:rFonts w:hint="default"/>
          <w:lang w:val="en-US" w:eastAsia="zh-CN"/>
        </w:rPr>
        <w:t>管理人实施下列行为，应当及时报告债权人委员会</w:t>
      </w:r>
      <w:r>
        <w:rPr>
          <w:rFonts w:hint="eastAsia"/>
          <w:lang w:val="en-US" w:eastAsia="zh-CN"/>
        </w:rPr>
        <w:t>：……</w:t>
      </w:r>
      <w:r>
        <w:rPr>
          <w:rFonts w:hint="default"/>
          <w:lang w:val="en-US" w:eastAsia="zh-CN"/>
        </w:rPr>
        <w:t> （七） 履行债务人和对方当事人均未履行完毕的合同；</w:t>
      </w:r>
      <w:r>
        <w:rPr>
          <w:rFonts w:hint="eastAsia"/>
          <w:lang w:val="en-US" w:eastAsia="zh-CN"/>
        </w:rPr>
        <w:t>……</w:t>
      </w:r>
      <w:r>
        <w:rPr>
          <w:rFonts w:hint="default"/>
          <w:lang w:val="en-US" w:eastAsia="zh-CN"/>
        </w:rPr>
        <w:t>未设立债权人委员会的，管理人实施前款规定的行为应当及时报告人民法院。</w:t>
      </w:r>
      <w:r>
        <w:rPr>
          <w:rFonts w:hint="eastAsia"/>
          <w:lang w:val="en-US" w:eastAsia="zh-CN"/>
        </w:rPr>
        <w:t>”</w:t>
      </w:r>
    </w:p>
  </w:endnote>
  <w:endnote w:id="4">
    <w:p>
      <w:pPr>
        <w:pStyle w:val="3"/>
        <w:snapToGrid w:val="0"/>
        <w:rPr>
          <w:sz w:val="18"/>
          <w:szCs w:val="21"/>
        </w:rPr>
      </w:pPr>
      <w:r>
        <w:rPr>
          <w:rStyle w:val="9"/>
        </w:rPr>
        <w:t>[</w:t>
      </w:r>
      <w:r>
        <w:rPr>
          <w:rStyle w:val="9"/>
        </w:rPr>
        <w:endnoteRef/>
      </w:r>
      <w:r>
        <w:rPr>
          <w:rStyle w:val="9"/>
        </w:rPr>
        <w:t>]</w:t>
      </w:r>
      <w:r>
        <w:t xml:space="preserve"> </w:t>
      </w:r>
      <w:r>
        <w:rPr>
          <w:rFonts w:hint="eastAsia"/>
          <w:sz w:val="18"/>
          <w:szCs w:val="21"/>
          <w:lang w:val="en-US" w:eastAsia="zh-CN"/>
        </w:rPr>
        <w:t>参见刘颖：《反思&lt;破产法&gt;对合同的处理》，载《现代法学》2016年第3期。</w:t>
      </w:r>
    </w:p>
  </w:endnote>
  <w:endnote w:id="5">
    <w:p>
      <w:pPr>
        <w:pStyle w:val="3"/>
        <w:snapToGrid w:val="0"/>
        <w:rPr>
          <w:sz w:val="18"/>
          <w:szCs w:val="21"/>
        </w:rPr>
      </w:pPr>
      <w:r>
        <w:rPr>
          <w:rStyle w:val="9"/>
          <w:sz w:val="21"/>
          <w:szCs w:val="24"/>
        </w:rPr>
        <w:t>[</w:t>
      </w:r>
      <w:r>
        <w:rPr>
          <w:rStyle w:val="9"/>
          <w:sz w:val="21"/>
          <w:szCs w:val="24"/>
        </w:rPr>
        <w:endnoteRef/>
      </w:r>
      <w:r>
        <w:rPr>
          <w:rStyle w:val="9"/>
          <w:sz w:val="21"/>
          <w:szCs w:val="24"/>
        </w:rPr>
        <w:t>]</w:t>
      </w:r>
      <w:r>
        <w:rPr>
          <w:sz w:val="18"/>
          <w:szCs w:val="21"/>
        </w:rPr>
        <w:t xml:space="preserve"> </w:t>
      </w:r>
      <w:r>
        <w:rPr>
          <w:rFonts w:hint="eastAsia"/>
          <w:sz w:val="18"/>
          <w:szCs w:val="21"/>
          <w:lang w:val="en-US" w:eastAsia="zh-CN"/>
        </w:rPr>
        <w:t>参见【日】能见善久：《履行障碍：日本法改正的课题与方向》，于敏、韩世远译，载韩世远、【日】下森定主编：《履行障碍法研究》，法律出版社2006年版，第63-64页。</w:t>
      </w:r>
    </w:p>
  </w:endnote>
  <w:endnote w:id="6">
    <w:p>
      <w:pPr>
        <w:pStyle w:val="3"/>
        <w:snapToGrid w:val="0"/>
      </w:pPr>
      <w:r>
        <w:rPr>
          <w:rStyle w:val="9"/>
        </w:rPr>
        <w:t>[</w:t>
      </w:r>
      <w:r>
        <w:rPr>
          <w:rStyle w:val="9"/>
        </w:rPr>
        <w:endnoteRef/>
      </w:r>
      <w:r>
        <w:rPr>
          <w:rStyle w:val="9"/>
        </w:rPr>
        <w:t>]</w:t>
      </w:r>
      <w:r>
        <w:t xml:space="preserve"> </w:t>
      </w:r>
      <w:r>
        <w:rPr>
          <w:rFonts w:hint="default" w:asciiTheme="minorHAnsi" w:hAnsiTheme="minorHAnsi" w:eastAsiaTheme="minorEastAsia" w:cstheme="minorBidi"/>
          <w:kern w:val="2"/>
          <w:sz w:val="18"/>
          <w:szCs w:val="24"/>
          <w:lang w:val="en-US" w:eastAsia="zh-CN" w:bidi="ar-SA"/>
        </w:rPr>
        <w:t>S</w:t>
      </w:r>
      <w:r>
        <w:rPr>
          <w:rFonts w:hint="eastAsia" w:asciiTheme="minorHAnsi" w:hAnsiTheme="minorHAnsi" w:eastAsiaTheme="minorEastAsia" w:cstheme="minorBidi"/>
          <w:kern w:val="2"/>
          <w:sz w:val="18"/>
          <w:szCs w:val="24"/>
          <w:lang w:val="en-US" w:eastAsia="zh-CN" w:bidi="ar-SA"/>
        </w:rPr>
        <w:t xml:space="preserve">ee </w:t>
      </w:r>
      <w:r>
        <w:rPr>
          <w:rFonts w:hint="default" w:asciiTheme="minorHAnsi" w:hAnsiTheme="minorHAnsi" w:eastAsiaTheme="minorEastAsia" w:cstheme="minorBidi"/>
          <w:kern w:val="2"/>
          <w:sz w:val="18"/>
          <w:szCs w:val="24"/>
          <w:lang w:val="en-US" w:eastAsia="zh-CN" w:bidi="ar-SA"/>
        </w:rPr>
        <w:t>Douglas G. B</w:t>
      </w:r>
      <w:r>
        <w:rPr>
          <w:rFonts w:hint="eastAsia" w:asciiTheme="minorHAnsi" w:hAnsiTheme="minorHAnsi" w:eastAsiaTheme="minorEastAsia" w:cstheme="minorBidi"/>
          <w:kern w:val="2"/>
          <w:sz w:val="18"/>
          <w:szCs w:val="24"/>
          <w:lang w:val="en-US" w:eastAsia="zh-CN" w:bidi="ar-SA"/>
        </w:rPr>
        <w:t>aird</w:t>
      </w:r>
      <w:r>
        <w:rPr>
          <w:rFonts w:hint="default" w:asciiTheme="minorHAnsi" w:hAnsiTheme="minorHAnsi" w:eastAsiaTheme="minorEastAsia" w:cstheme="minorBidi"/>
          <w:kern w:val="2"/>
          <w:sz w:val="18"/>
          <w:szCs w:val="24"/>
          <w:lang w:val="en-US" w:eastAsia="zh-CN" w:bidi="ar-SA"/>
        </w:rPr>
        <w:t>, The E</w:t>
      </w:r>
      <w:r>
        <w:rPr>
          <w:rFonts w:hint="eastAsia" w:asciiTheme="minorHAnsi" w:hAnsiTheme="minorHAnsi" w:eastAsiaTheme="minorEastAsia" w:cstheme="minorBidi"/>
          <w:kern w:val="2"/>
          <w:sz w:val="18"/>
          <w:szCs w:val="24"/>
          <w:lang w:val="en-US" w:eastAsia="zh-CN" w:bidi="ar-SA"/>
        </w:rPr>
        <w:t>l</w:t>
      </w:r>
      <w:r>
        <w:rPr>
          <w:rFonts w:hint="default" w:asciiTheme="minorHAnsi" w:hAnsiTheme="minorHAnsi" w:eastAsiaTheme="minorEastAsia" w:cstheme="minorBidi"/>
          <w:kern w:val="2"/>
          <w:sz w:val="18"/>
          <w:szCs w:val="24"/>
          <w:lang w:val="en-US" w:eastAsia="zh-CN" w:bidi="ar-SA"/>
        </w:rPr>
        <w:t>ements of Bankruptcy,New York Foundation Press,2006,p.5.</w:t>
      </w:r>
    </w:p>
  </w:endnote>
  <w:endnote w:id="7">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2017）最高法民申51号民事裁定书海南昌江鑫龙房地产开发有限公司与海南献林建筑安装工程有限公司建设工程施工合同纠纷案，法院认为：“法定解除权，就其性质而言是一种形成权，是指权利人依自己单方意思表示即可使民事法律关系消灭的权利，正由于法定解除权赋予了权利主体以单方意思表示干预法律关系的权利，从保护相对人免受不公平结果损害，以及维护交易安全和稳定，鼓励交易的角度出发，法定解除权通常应赋予守约方而非违约方。”</w:t>
      </w:r>
    </w:p>
  </w:endnote>
  <w:endnote w:id="8">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w:t>
      </w:r>
      <w:r>
        <w:rPr>
          <w:sz w:val="18"/>
          <w:szCs w:val="21"/>
          <w:lang w:val="en-US" w:eastAsia="zh-CN"/>
        </w:rPr>
        <w:t>（2020）最高法民申3564号</w:t>
      </w:r>
      <w:r>
        <w:rPr>
          <w:rFonts w:hint="eastAsia"/>
          <w:sz w:val="18"/>
          <w:szCs w:val="21"/>
          <w:lang w:val="en-US" w:eastAsia="zh-CN"/>
        </w:rPr>
        <w:t>民事裁定书</w:t>
      </w:r>
    </w:p>
  </w:endnote>
  <w:endnote w:id="9">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w:t>
      </w:r>
      <w:r>
        <w:rPr>
          <w:rFonts w:hint="eastAsia"/>
          <w:sz w:val="18"/>
          <w:szCs w:val="21"/>
        </w:rPr>
        <w:t>（2019）浙06民终3980号</w:t>
      </w:r>
      <w:r>
        <w:rPr>
          <w:rFonts w:hint="eastAsia"/>
          <w:sz w:val="18"/>
          <w:szCs w:val="21"/>
          <w:lang w:val="en-US" w:eastAsia="zh-CN"/>
        </w:rPr>
        <w:t>民事判决书</w:t>
      </w:r>
    </w:p>
  </w:endnote>
  <w:endnote w:id="10">
    <w:p>
      <w:pPr>
        <w:pStyle w:val="4"/>
        <w:snapToGrid w:val="0"/>
      </w:pPr>
      <w:r>
        <w:rPr>
          <w:rStyle w:val="9"/>
          <w:sz w:val="21"/>
          <w:szCs w:val="32"/>
        </w:rPr>
        <w:t>[</w:t>
      </w:r>
      <w:r>
        <w:rPr>
          <w:rStyle w:val="9"/>
          <w:sz w:val="21"/>
          <w:szCs w:val="32"/>
        </w:rPr>
        <w:endnoteRef/>
      </w:r>
      <w:r>
        <w:rPr>
          <w:rStyle w:val="9"/>
          <w:sz w:val="21"/>
          <w:szCs w:val="32"/>
        </w:rPr>
        <w:t>]</w:t>
      </w:r>
      <w:r>
        <w:t xml:space="preserve"> </w:t>
      </w:r>
      <w:r>
        <w:rPr>
          <w:rFonts w:hint="eastAsia" w:ascii="宋体" w:hAnsi="宋体" w:eastAsia="宋体" w:cs="宋体"/>
          <w:lang w:val="en-US" w:eastAsia="zh-CN"/>
        </w:rPr>
        <w:t>《中华人民共和国民法典》第五百零九条：“当事人应当按照约定全面履行自己的义务。……”</w:t>
      </w:r>
    </w:p>
  </w:endnote>
  <w:endnote w:id="11">
    <w:p>
      <w:pPr>
        <w:pStyle w:val="3"/>
        <w:snapToGrid w:val="0"/>
      </w:pPr>
      <w:r>
        <w:rPr>
          <w:rStyle w:val="9"/>
        </w:rPr>
        <w:t>[</w:t>
      </w:r>
      <w:r>
        <w:rPr>
          <w:rStyle w:val="9"/>
        </w:rPr>
        <w:endnoteRef/>
      </w:r>
      <w:r>
        <w:rPr>
          <w:rStyle w:val="9"/>
        </w:rPr>
        <w:t>]</w:t>
      </w:r>
      <w:r>
        <w:t xml:space="preserve"> </w:t>
      </w:r>
      <w:r>
        <w:rPr>
          <w:rFonts w:hint="eastAsia" w:asciiTheme="minorEastAsia" w:hAnsiTheme="minorEastAsia" w:eastAsiaTheme="minorEastAsia" w:cstheme="minorEastAsia"/>
          <w:sz w:val="18"/>
          <w:szCs w:val="21"/>
          <w:lang w:val="en-US" w:eastAsia="zh-CN"/>
        </w:rPr>
        <w:t>参见王欣新、张思明：《房地产开发企业破产中的房屋产权界定与合同履行》，北京：《人民司法》，2016年第7期，第6页。</w:t>
      </w:r>
    </w:p>
  </w:endnote>
  <w:endnote w:id="12">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参见丁晓春：《未履行或未完全履行的双务合同在破产程序中的命运——德国支付不能法第103条》，天津：《天津市政法管理干部学院学报》，2008年第1期，第74页。</w:t>
      </w:r>
    </w:p>
  </w:endnote>
  <w:endnote w:id="13">
    <w:p>
      <w:pPr>
        <w:pStyle w:val="4"/>
        <w:snapToGrid w:val="0"/>
      </w:pPr>
      <w:r>
        <w:rPr>
          <w:rStyle w:val="9"/>
          <w:sz w:val="21"/>
          <w:szCs w:val="32"/>
        </w:rPr>
        <w:t>[</w:t>
      </w:r>
      <w:r>
        <w:rPr>
          <w:rStyle w:val="9"/>
          <w:sz w:val="21"/>
          <w:szCs w:val="32"/>
        </w:rPr>
        <w:endnoteRef/>
      </w:r>
      <w:r>
        <w:rPr>
          <w:rStyle w:val="9"/>
          <w:sz w:val="21"/>
          <w:szCs w:val="32"/>
        </w:rPr>
        <w:t>]</w:t>
      </w:r>
      <w:r>
        <w:t xml:space="preserve"> </w:t>
      </w:r>
      <w:r>
        <w:rPr>
          <w:rFonts w:hint="default"/>
          <w:lang w:val="en-US" w:eastAsia="zh-CN"/>
        </w:rPr>
        <w:t>《最高人民法院关于适用〈中华人民共和国民法典〉合同编通则若干问题的解释》</w:t>
      </w:r>
      <w:r>
        <w:rPr>
          <w:rFonts w:hint="eastAsia"/>
        </w:rPr>
        <w:t>第二十六条</w:t>
      </w:r>
      <w:r>
        <w:rPr>
          <w:rFonts w:hint="eastAsia"/>
          <w:lang w:eastAsia="zh-CN"/>
        </w:rPr>
        <w:t>：“</w:t>
      </w:r>
      <w:r>
        <w:rPr>
          <w:rFonts w:hint="eastAsia"/>
        </w:rPr>
        <w:t>当事人一方未根据法律规定或者合同约定履行开具发票、提供证明文件等非主要债务，对方请求继续履行该债务并赔偿因怠于履行该债务造成的损失的，人民法院依法予以支持；对方请求解除合同的，人民法院不予支持，但是不履行该债务致使不能实现合同目的或者当事人另有约定的除外。</w:t>
      </w:r>
      <w:r>
        <w:rPr>
          <w:rFonts w:hint="eastAsia"/>
          <w:lang w:eastAsia="zh-CN"/>
        </w:rPr>
        <w:t>”</w:t>
      </w:r>
    </w:p>
  </w:endnote>
  <w:endnote w:id="14">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参见最高人民法院民事审判第二庭、研究室编著，人民法院出版社2023年12月出版的《最高人民法院民法典合同编通则司法解释理解与适用》</w:t>
      </w:r>
    </w:p>
  </w:endnote>
  <w:endnote w:id="15">
    <w:p>
      <w:pPr>
        <w:pStyle w:val="3"/>
        <w:snapToGrid w:val="0"/>
      </w:pPr>
      <w:r>
        <w:rPr>
          <w:rStyle w:val="9"/>
        </w:rPr>
        <w:t>[</w:t>
      </w:r>
      <w:r>
        <w:rPr>
          <w:rStyle w:val="9"/>
        </w:rPr>
        <w:endnoteRef/>
      </w:r>
      <w:r>
        <w:rPr>
          <w:rStyle w:val="9"/>
        </w:rPr>
        <w:t>]</w:t>
      </w:r>
      <w:r>
        <w:t xml:space="preserve"> </w:t>
      </w:r>
      <w:r>
        <w:rPr>
          <w:rFonts w:hint="eastAsia"/>
          <w:sz w:val="18"/>
          <w:szCs w:val="21"/>
          <w:lang w:val="en-US" w:eastAsia="zh-CN"/>
        </w:rPr>
        <w:t>附随义务是指在没有法律明文规定，也无合同约定的情况下，合同当事人为了实现合同目的并维护对方当事人的合法利益而承担的作为或不作为的义务。其主要体现在</w:t>
      </w:r>
      <w:r>
        <w:rPr>
          <w:rFonts w:hint="eastAsia"/>
          <w:sz w:val="18"/>
          <w:szCs w:val="21"/>
          <w:lang w:eastAsia="zh-CN"/>
        </w:rPr>
        <w:t>《</w:t>
      </w:r>
      <w:r>
        <w:rPr>
          <w:rFonts w:hint="eastAsia"/>
          <w:sz w:val="18"/>
          <w:szCs w:val="21"/>
          <w:lang w:val="en-US" w:eastAsia="zh-CN"/>
        </w:rPr>
        <w:t>民法典》第五百零九条：</w:t>
      </w:r>
      <w:r>
        <w:rPr>
          <w:rFonts w:hint="eastAsia"/>
          <w:sz w:val="18"/>
          <w:szCs w:val="21"/>
        </w:rPr>
        <w:t>当事人应当按照约定全面履行自己的义务。当事人应当遵循诚信原则，根据合同的性质、目的和交易习惯履行通知、协助、保密等义务。当事人在履行合同过程中，应当避免浪费资源、污染环境和破坏生态。</w:t>
      </w:r>
    </w:p>
  </w:endnote>
  <w:endnote w:id="16">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w:t>
      </w:r>
      <w:r>
        <w:rPr>
          <w:rFonts w:hint="eastAsia"/>
          <w:sz w:val="18"/>
          <w:szCs w:val="21"/>
        </w:rPr>
        <w:t>（2018）浙03民终4906号</w:t>
      </w:r>
      <w:r>
        <w:rPr>
          <w:rFonts w:hint="eastAsia"/>
          <w:sz w:val="18"/>
          <w:szCs w:val="21"/>
          <w:lang w:val="en-US" w:eastAsia="zh-CN"/>
        </w:rPr>
        <w:t>民事判决书</w:t>
      </w:r>
    </w:p>
  </w:endnote>
  <w:endnote w:id="17">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w:t>
      </w:r>
      <w:r>
        <w:rPr>
          <w:rFonts w:hint="eastAsia"/>
          <w:sz w:val="18"/>
          <w:szCs w:val="21"/>
        </w:rPr>
        <w:t>（2021）浙02民终3617号</w:t>
      </w:r>
      <w:r>
        <w:rPr>
          <w:rFonts w:hint="eastAsia"/>
          <w:sz w:val="18"/>
          <w:szCs w:val="21"/>
          <w:lang w:val="en-US" w:eastAsia="zh-CN"/>
        </w:rPr>
        <w:t>民事判决书</w:t>
      </w:r>
    </w:p>
  </w:endnote>
  <w:endnote w:id="18">
    <w:p>
      <w:pPr>
        <w:pStyle w:val="3"/>
        <w:snapToGrid w:val="0"/>
        <w:rPr>
          <w:sz w:val="18"/>
          <w:szCs w:val="21"/>
        </w:rPr>
      </w:pPr>
      <w:r>
        <w:rPr>
          <w:rStyle w:val="9"/>
        </w:rPr>
        <w:t>[</w:t>
      </w:r>
      <w:r>
        <w:rPr>
          <w:rStyle w:val="9"/>
        </w:rPr>
        <w:endnoteRef/>
      </w:r>
      <w:r>
        <w:rPr>
          <w:rStyle w:val="9"/>
        </w:rPr>
        <w:t>]</w:t>
      </w:r>
      <w:r>
        <w:t xml:space="preserve"> </w:t>
      </w:r>
      <w:r>
        <w:rPr>
          <w:rFonts w:hint="eastAsia"/>
          <w:sz w:val="18"/>
          <w:szCs w:val="21"/>
          <w:lang w:val="en-US" w:eastAsia="zh-CN"/>
        </w:rPr>
        <w:t>参见崔建远：《合同法》（第6版），法律出版社2016年版，第193页。</w:t>
      </w:r>
    </w:p>
  </w:endnote>
  <w:endnote w:id="19">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参见《积极追收债务人财产 充分保障债权人利益——最高人民法院民二庭负责人答记者问》网址：https://www.court.gov.cn/zixun/xiangqing/5678.html</w:t>
      </w:r>
    </w:p>
  </w:endnote>
  <w:endnote w:id="20">
    <w:p>
      <w:pPr>
        <w:pStyle w:val="4"/>
        <w:snapToGrid w:val="0"/>
        <w:rPr>
          <w:rFonts w:hint="eastAsia"/>
          <w:sz w:val="18"/>
          <w:szCs w:val="24"/>
          <w:lang w:val="en-US" w:eastAsia="zh-CN"/>
        </w:rPr>
      </w:pPr>
      <w:r>
        <w:rPr>
          <w:rStyle w:val="9"/>
          <w:sz w:val="21"/>
          <w:szCs w:val="32"/>
        </w:rPr>
        <w:t>[</w:t>
      </w:r>
      <w:r>
        <w:rPr>
          <w:rStyle w:val="9"/>
          <w:sz w:val="21"/>
          <w:szCs w:val="32"/>
        </w:rPr>
        <w:endnoteRef/>
      </w:r>
      <w:r>
        <w:rPr>
          <w:rStyle w:val="9"/>
          <w:sz w:val="21"/>
          <w:szCs w:val="32"/>
        </w:rPr>
        <w:t>]</w:t>
      </w:r>
      <w:r>
        <w:t xml:space="preserve"> </w:t>
      </w:r>
      <w:r>
        <w:rPr>
          <w:rFonts w:hint="eastAsia"/>
          <w:sz w:val="18"/>
          <w:szCs w:val="24"/>
          <w:lang w:val="en-US" w:eastAsia="zh-CN"/>
        </w:rPr>
        <w:t>《最高人民法院关于审理企业破产案件若干问题的规定》第六十四条 破产财产由下列财产构成： </w:t>
      </w:r>
    </w:p>
    <w:p>
      <w:pPr>
        <w:pStyle w:val="4"/>
        <w:snapToGrid w:val="0"/>
        <w:rPr>
          <w:rFonts w:hint="eastAsia"/>
          <w:sz w:val="18"/>
          <w:szCs w:val="24"/>
          <w:lang w:val="en-US" w:eastAsia="zh-CN"/>
        </w:rPr>
      </w:pPr>
      <w:r>
        <w:rPr>
          <w:rFonts w:hint="eastAsia"/>
          <w:sz w:val="18"/>
          <w:szCs w:val="24"/>
          <w:lang w:val="en-US" w:eastAsia="zh-CN"/>
        </w:rPr>
        <w:t>（一） 债务人在破产宣告时所有的或者经营管理的全部财产；  </w:t>
      </w:r>
    </w:p>
    <w:p>
      <w:pPr>
        <w:pStyle w:val="4"/>
        <w:snapToGrid w:val="0"/>
        <w:rPr>
          <w:rFonts w:hint="eastAsia"/>
          <w:sz w:val="18"/>
          <w:szCs w:val="24"/>
          <w:lang w:val="en-US" w:eastAsia="zh-CN"/>
        </w:rPr>
      </w:pPr>
      <w:r>
        <w:rPr>
          <w:rFonts w:hint="eastAsia"/>
          <w:sz w:val="18"/>
          <w:szCs w:val="24"/>
          <w:lang w:val="en-US" w:eastAsia="zh-CN"/>
        </w:rPr>
        <w:t>（二） 债务人在破产宣告后至破产程序终结前取得的财产；</w:t>
      </w:r>
    </w:p>
    <w:p>
      <w:pPr>
        <w:pStyle w:val="4"/>
        <w:snapToGrid w:val="0"/>
      </w:pPr>
      <w:r>
        <w:rPr>
          <w:rFonts w:hint="eastAsia"/>
          <w:sz w:val="18"/>
          <w:szCs w:val="24"/>
          <w:lang w:val="en-US" w:eastAsia="zh-CN"/>
        </w:rPr>
        <w:t>（三） 应当由债务人行使的其他财产权利。</w:t>
      </w:r>
    </w:p>
  </w:endnote>
  <w:endnote w:id="21">
    <w:p>
      <w:pPr>
        <w:pStyle w:val="3"/>
        <w:snapToGrid w:val="0"/>
      </w:pPr>
      <w:r>
        <w:rPr>
          <w:rStyle w:val="9"/>
        </w:rPr>
        <w:t>[</w:t>
      </w:r>
      <w:r>
        <w:rPr>
          <w:rStyle w:val="9"/>
        </w:rPr>
        <w:endnoteRef/>
      </w:r>
      <w:r>
        <w:rPr>
          <w:rStyle w:val="9"/>
        </w:rPr>
        <w:t>]</w:t>
      </w:r>
      <w:r>
        <w:t xml:space="preserve"> </w:t>
      </w:r>
      <w:r>
        <w:rPr>
          <w:rFonts w:hint="eastAsia"/>
          <w:sz w:val="18"/>
          <w:szCs w:val="21"/>
          <w:lang w:eastAsia="zh-CN"/>
        </w:rPr>
        <w:t>《</w:t>
      </w:r>
      <w:r>
        <w:rPr>
          <w:rFonts w:hint="eastAsia"/>
          <w:sz w:val="18"/>
          <w:szCs w:val="21"/>
          <w:lang w:val="en-US" w:eastAsia="zh-CN"/>
        </w:rPr>
        <w:t>企业破产法》第三十条：破产申请受理时属于债务人的全部财产，以及破产申请受理后至破产程序终结前债务人取得的财产，为债务人财产。</w:t>
      </w:r>
    </w:p>
  </w:endnote>
  <w:endnote w:id="22">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w:t>
      </w:r>
      <w:r>
        <w:rPr>
          <w:sz w:val="18"/>
          <w:szCs w:val="21"/>
          <w:lang w:val="en-US" w:eastAsia="zh-CN"/>
        </w:rPr>
        <w:t>（2015）民申字第2358号</w:t>
      </w:r>
      <w:r>
        <w:rPr>
          <w:rFonts w:hint="eastAsia"/>
          <w:sz w:val="18"/>
          <w:szCs w:val="21"/>
          <w:lang w:val="en-US" w:eastAsia="zh-CN"/>
        </w:rPr>
        <w:t>民事裁定书</w:t>
      </w:r>
    </w:p>
  </w:endnote>
  <w:endnote w:id="23">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w:t>
      </w:r>
      <w:r>
        <w:rPr>
          <w:sz w:val="18"/>
          <w:szCs w:val="21"/>
          <w:lang w:val="en-US" w:eastAsia="zh-CN"/>
        </w:rPr>
        <w:t>（2021）粤民终2701号</w:t>
      </w:r>
      <w:r>
        <w:rPr>
          <w:rFonts w:hint="eastAsia"/>
          <w:sz w:val="18"/>
          <w:szCs w:val="21"/>
          <w:lang w:val="en-US" w:eastAsia="zh-CN"/>
        </w:rPr>
        <w:t>民事判决书</w:t>
      </w:r>
    </w:p>
  </w:endnote>
  <w:endnote w:id="24">
    <w:p>
      <w:pPr>
        <w:pStyle w:val="3"/>
        <w:snapToGrid w:val="0"/>
        <w:rPr>
          <w:sz w:val="18"/>
          <w:szCs w:val="21"/>
        </w:rPr>
      </w:pPr>
      <w:r>
        <w:rPr>
          <w:rStyle w:val="9"/>
        </w:rPr>
        <w:t>[</w:t>
      </w:r>
      <w:r>
        <w:rPr>
          <w:rStyle w:val="9"/>
        </w:rPr>
        <w:endnoteRef/>
      </w:r>
      <w:r>
        <w:rPr>
          <w:rStyle w:val="9"/>
        </w:rPr>
        <w:t>]</w:t>
      </w:r>
      <w:r>
        <w:t xml:space="preserve"> </w:t>
      </w:r>
      <w:r>
        <w:rPr>
          <w:rFonts w:hint="eastAsia"/>
          <w:sz w:val="18"/>
          <w:szCs w:val="21"/>
          <w:lang w:val="en-US" w:eastAsia="zh-CN"/>
        </w:rPr>
        <w:t>丁燕,尹栋.  论破产管理人待履行合同解除权的限制[J]. 法律适用，2022， (03): 73-83.</w:t>
      </w:r>
    </w:p>
  </w:endnote>
  <w:endnote w:id="25">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w:t>
      </w:r>
      <w:r>
        <w:rPr>
          <w:rFonts w:hint="eastAsia"/>
          <w:sz w:val="18"/>
          <w:szCs w:val="21"/>
        </w:rPr>
        <w:t>（2021）浙72民初1056号</w:t>
      </w:r>
      <w:r>
        <w:rPr>
          <w:rFonts w:hint="eastAsia"/>
          <w:sz w:val="18"/>
          <w:szCs w:val="21"/>
          <w:lang w:val="en-US" w:eastAsia="zh-CN"/>
        </w:rPr>
        <w:t>民事判决书</w:t>
      </w:r>
    </w:p>
  </w:endnote>
  <w:endnote w:id="26">
    <w:p>
      <w:pPr>
        <w:pStyle w:val="3"/>
        <w:snapToGrid w:val="0"/>
      </w:pPr>
      <w:r>
        <w:rPr>
          <w:rStyle w:val="9"/>
        </w:rPr>
        <w:t>[</w:t>
      </w:r>
      <w:r>
        <w:rPr>
          <w:rStyle w:val="9"/>
        </w:rPr>
        <w:endnoteRef/>
      </w:r>
      <w:r>
        <w:rPr>
          <w:rStyle w:val="9"/>
        </w:rPr>
        <w:t>]</w:t>
      </w:r>
      <w:r>
        <w:t xml:space="preserve"> </w:t>
      </w:r>
      <w:r>
        <w:rPr>
          <w:rFonts w:hint="eastAsia"/>
          <w:sz w:val="18"/>
          <w:szCs w:val="21"/>
          <w:lang w:val="en-US" w:eastAsia="zh-CN"/>
        </w:rPr>
        <w:t>参见</w:t>
      </w:r>
      <w:r>
        <w:rPr>
          <w:rFonts w:hint="eastAsia"/>
          <w:sz w:val="18"/>
          <w:szCs w:val="21"/>
          <w:lang w:eastAsia="zh-CN"/>
        </w:rPr>
        <w:t>《</w:t>
      </w:r>
      <w:r>
        <w:rPr>
          <w:rFonts w:hint="eastAsia"/>
          <w:sz w:val="18"/>
          <w:szCs w:val="21"/>
          <w:lang w:val="en-US" w:eastAsia="zh-CN"/>
        </w:rPr>
        <w:t>最高人民法院关于印发</w:t>
      </w:r>
      <w:r>
        <w:rPr>
          <w:rFonts w:hint="default"/>
          <w:sz w:val="18"/>
          <w:szCs w:val="21"/>
          <w:lang w:val="en-US" w:eastAsia="zh-CN"/>
        </w:rPr>
        <w:t>&lt;</w:t>
      </w:r>
      <w:r>
        <w:rPr>
          <w:rFonts w:hint="eastAsia"/>
          <w:sz w:val="18"/>
          <w:szCs w:val="21"/>
          <w:lang w:val="en-US" w:eastAsia="zh-CN"/>
        </w:rPr>
        <w:t>全国法院破产审判工作会议纪要</w:t>
      </w:r>
      <w:r>
        <w:rPr>
          <w:rFonts w:hint="default"/>
          <w:sz w:val="18"/>
          <w:szCs w:val="21"/>
          <w:lang w:val="en-US" w:eastAsia="zh-CN"/>
        </w:rPr>
        <w:t>&gt;</w:t>
      </w:r>
      <w:r>
        <w:rPr>
          <w:rFonts w:hint="eastAsia"/>
          <w:sz w:val="18"/>
          <w:szCs w:val="21"/>
          <w:lang w:val="en-US" w:eastAsia="zh-CN"/>
        </w:rPr>
        <w:t>的通知》【法[2018</w:t>
      </w:r>
      <w:r>
        <w:rPr>
          <w:rFonts w:hint="default"/>
          <w:sz w:val="18"/>
          <w:szCs w:val="21"/>
          <w:lang w:val="en-US" w:eastAsia="zh-CN"/>
        </w:rPr>
        <w:t>]</w:t>
      </w:r>
      <w:r>
        <w:rPr>
          <w:rFonts w:hint="eastAsia"/>
          <w:sz w:val="18"/>
          <w:szCs w:val="21"/>
          <w:lang w:val="en-US" w:eastAsia="zh-CN"/>
        </w:rPr>
        <w:t>53号】</w:t>
      </w:r>
    </w:p>
  </w:endnote>
  <w:endnote w:id="27">
    <w:p>
      <w:pPr>
        <w:pStyle w:val="4"/>
        <w:snapToGrid w:val="0"/>
      </w:pPr>
      <w:r>
        <w:rPr>
          <w:rStyle w:val="9"/>
          <w:sz w:val="21"/>
          <w:szCs w:val="32"/>
        </w:rPr>
        <w:t>[</w:t>
      </w:r>
      <w:r>
        <w:rPr>
          <w:rStyle w:val="9"/>
          <w:sz w:val="21"/>
          <w:szCs w:val="32"/>
        </w:rPr>
        <w:endnoteRef/>
      </w:r>
      <w:r>
        <w:rPr>
          <w:rStyle w:val="9"/>
          <w:sz w:val="21"/>
          <w:szCs w:val="32"/>
        </w:rPr>
        <w:t>]</w:t>
      </w:r>
      <w:r>
        <w:t xml:space="preserve"> </w:t>
      </w:r>
      <w:r>
        <w:rPr>
          <w:rFonts w:hint="eastAsia"/>
          <w:lang w:val="en-US" w:eastAsia="zh-CN"/>
        </w:rPr>
        <w:t>参见邹海林、周泽新：《破产法学的新发展》，中国社会科学出版社2013年版，第21页。</w:t>
      </w:r>
    </w:p>
  </w:endnote>
  <w:endnote w:id="28">
    <w:p>
      <w:pPr>
        <w:pStyle w:val="3"/>
        <w:snapToGrid w:val="0"/>
        <w:rPr>
          <w:rFonts w:hint="eastAsia" w:asciiTheme="minorEastAsia" w:hAnsiTheme="minorEastAsia" w:eastAsiaTheme="minorEastAsia" w:cstheme="minorEastAsia"/>
          <w:sz w:val="18"/>
          <w:szCs w:val="18"/>
        </w:rPr>
      </w:pPr>
      <w:r>
        <w:rPr>
          <w:rStyle w:val="9"/>
        </w:rPr>
        <w:t>[</w:t>
      </w:r>
      <w:r>
        <w:rPr>
          <w:rStyle w:val="9"/>
        </w:rPr>
        <w:endnoteRef/>
      </w:r>
      <w:r>
        <w:rPr>
          <w:rStyle w:val="9"/>
        </w:rPr>
        <w:t>]</w:t>
      </w:r>
      <w:r>
        <w:t xml:space="preserve"> </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美</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阿道夫•A•伯利、加纳德•C•米恩斯：《现代公司与私有财产》，北京：商务印书馆，2005年，第345页。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58"/>
    <w:endnote w:id="59"/>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E1532"/>
    <w:rsid w:val="02FC5AA6"/>
    <w:rsid w:val="03E7089F"/>
    <w:rsid w:val="03FFCF23"/>
    <w:rsid w:val="07DF004E"/>
    <w:rsid w:val="08B7052A"/>
    <w:rsid w:val="0AFEB67A"/>
    <w:rsid w:val="0AFF66E8"/>
    <w:rsid w:val="0F268EFF"/>
    <w:rsid w:val="0FCC1316"/>
    <w:rsid w:val="0FDB0B80"/>
    <w:rsid w:val="0FF7D8CF"/>
    <w:rsid w:val="11FF7B07"/>
    <w:rsid w:val="13FFC1DB"/>
    <w:rsid w:val="17FD07B1"/>
    <w:rsid w:val="17FEA9BE"/>
    <w:rsid w:val="1BDF6696"/>
    <w:rsid w:val="1DAFC3F1"/>
    <w:rsid w:val="1DFCD1AE"/>
    <w:rsid w:val="1DFF7763"/>
    <w:rsid w:val="1EF710CD"/>
    <w:rsid w:val="1EFD43D4"/>
    <w:rsid w:val="1F4FA819"/>
    <w:rsid w:val="1F7E8D2F"/>
    <w:rsid w:val="1FBB2D0E"/>
    <w:rsid w:val="1FBD704A"/>
    <w:rsid w:val="1FCEFBC4"/>
    <w:rsid w:val="1FED839E"/>
    <w:rsid w:val="1FEF35EC"/>
    <w:rsid w:val="1FEFA4F2"/>
    <w:rsid w:val="1FF199B0"/>
    <w:rsid w:val="1FF62DE1"/>
    <w:rsid w:val="22F6A1EE"/>
    <w:rsid w:val="26CB47CA"/>
    <w:rsid w:val="27DF634C"/>
    <w:rsid w:val="27EDB9E0"/>
    <w:rsid w:val="27EF8C26"/>
    <w:rsid w:val="27F36C9A"/>
    <w:rsid w:val="2AFF417F"/>
    <w:rsid w:val="2B7BD60A"/>
    <w:rsid w:val="2CE75EAB"/>
    <w:rsid w:val="2DBC7E1F"/>
    <w:rsid w:val="2DFF41D9"/>
    <w:rsid w:val="2E57802D"/>
    <w:rsid w:val="2EFD66F0"/>
    <w:rsid w:val="2FBE56F9"/>
    <w:rsid w:val="2FED49F0"/>
    <w:rsid w:val="2FEFAF80"/>
    <w:rsid w:val="2FFF0411"/>
    <w:rsid w:val="33351D72"/>
    <w:rsid w:val="33DB5B8B"/>
    <w:rsid w:val="34F65036"/>
    <w:rsid w:val="376F2DCE"/>
    <w:rsid w:val="3787D69A"/>
    <w:rsid w:val="37BE9BBF"/>
    <w:rsid w:val="39D50754"/>
    <w:rsid w:val="39D779B8"/>
    <w:rsid w:val="39D94640"/>
    <w:rsid w:val="39EEAE3D"/>
    <w:rsid w:val="39FFEA21"/>
    <w:rsid w:val="3AEFD53B"/>
    <w:rsid w:val="3B6F75F8"/>
    <w:rsid w:val="3B7FBBD7"/>
    <w:rsid w:val="3B7FFA2E"/>
    <w:rsid w:val="3BAB9FC4"/>
    <w:rsid w:val="3BBB3409"/>
    <w:rsid w:val="3BCA2A22"/>
    <w:rsid w:val="3BDBD895"/>
    <w:rsid w:val="3BF9F7D2"/>
    <w:rsid w:val="3BFAE375"/>
    <w:rsid w:val="3BFBE87B"/>
    <w:rsid w:val="3BFD8DF6"/>
    <w:rsid w:val="3BFF25B7"/>
    <w:rsid w:val="3C7FCAD0"/>
    <w:rsid w:val="3CBB5B93"/>
    <w:rsid w:val="3CBF5685"/>
    <w:rsid w:val="3CFDCC0C"/>
    <w:rsid w:val="3D1F8230"/>
    <w:rsid w:val="3DD73003"/>
    <w:rsid w:val="3DDB6D89"/>
    <w:rsid w:val="3DDDC5A2"/>
    <w:rsid w:val="3DDEE356"/>
    <w:rsid w:val="3DE9E6A8"/>
    <w:rsid w:val="3E655134"/>
    <w:rsid w:val="3E757FDB"/>
    <w:rsid w:val="3EB3B902"/>
    <w:rsid w:val="3EE94082"/>
    <w:rsid w:val="3EFF1974"/>
    <w:rsid w:val="3F36173A"/>
    <w:rsid w:val="3F3BEF3F"/>
    <w:rsid w:val="3F5F64D6"/>
    <w:rsid w:val="3F6B4A97"/>
    <w:rsid w:val="3F6EDDA7"/>
    <w:rsid w:val="3F9FF798"/>
    <w:rsid w:val="3FBEE1E7"/>
    <w:rsid w:val="3FBFF2CF"/>
    <w:rsid w:val="3FD71B12"/>
    <w:rsid w:val="3FEF2741"/>
    <w:rsid w:val="3FEF4353"/>
    <w:rsid w:val="3FF711AC"/>
    <w:rsid w:val="3FF71E6F"/>
    <w:rsid w:val="3FF9CF17"/>
    <w:rsid w:val="3FF9FA4E"/>
    <w:rsid w:val="3FFE458D"/>
    <w:rsid w:val="3FFEE166"/>
    <w:rsid w:val="3FFF7411"/>
    <w:rsid w:val="429F36B3"/>
    <w:rsid w:val="45EF7E2F"/>
    <w:rsid w:val="46F79252"/>
    <w:rsid w:val="476FB96B"/>
    <w:rsid w:val="47DB39E1"/>
    <w:rsid w:val="4AD300AC"/>
    <w:rsid w:val="4BDEC15B"/>
    <w:rsid w:val="4DAF92B3"/>
    <w:rsid w:val="4DF7A87E"/>
    <w:rsid w:val="4F5F4842"/>
    <w:rsid w:val="4FBB0065"/>
    <w:rsid w:val="4FBD6D51"/>
    <w:rsid w:val="4FEE763B"/>
    <w:rsid w:val="4FF76553"/>
    <w:rsid w:val="4FFDF668"/>
    <w:rsid w:val="4FFF0ABE"/>
    <w:rsid w:val="567B17CF"/>
    <w:rsid w:val="579E0C40"/>
    <w:rsid w:val="57AFEA57"/>
    <w:rsid w:val="57B31E5C"/>
    <w:rsid w:val="57FD2F92"/>
    <w:rsid w:val="57FF52D4"/>
    <w:rsid w:val="59FCE6F5"/>
    <w:rsid w:val="59FF550B"/>
    <w:rsid w:val="5A6FAC70"/>
    <w:rsid w:val="5AFE4A0F"/>
    <w:rsid w:val="5BBF5A25"/>
    <w:rsid w:val="5BEF92F5"/>
    <w:rsid w:val="5BF7C7AC"/>
    <w:rsid w:val="5BFBA917"/>
    <w:rsid w:val="5BFF5056"/>
    <w:rsid w:val="5CBE2BDE"/>
    <w:rsid w:val="5CFD7203"/>
    <w:rsid w:val="5D124779"/>
    <w:rsid w:val="5D77D146"/>
    <w:rsid w:val="5DB177DD"/>
    <w:rsid w:val="5DBED6DD"/>
    <w:rsid w:val="5DDE15A2"/>
    <w:rsid w:val="5DF6FD13"/>
    <w:rsid w:val="5DFFDBA9"/>
    <w:rsid w:val="5E7FFF73"/>
    <w:rsid w:val="5EC1F0DD"/>
    <w:rsid w:val="5EDF7FA8"/>
    <w:rsid w:val="5EEBD4EA"/>
    <w:rsid w:val="5EFE6609"/>
    <w:rsid w:val="5F469B32"/>
    <w:rsid w:val="5F537162"/>
    <w:rsid w:val="5F6B2170"/>
    <w:rsid w:val="5F77E666"/>
    <w:rsid w:val="5FB667F2"/>
    <w:rsid w:val="5FBD9F0A"/>
    <w:rsid w:val="5FDBCF1F"/>
    <w:rsid w:val="5FDD32A2"/>
    <w:rsid w:val="5FDD92C3"/>
    <w:rsid w:val="5FDECB7B"/>
    <w:rsid w:val="5FEC7E33"/>
    <w:rsid w:val="5FF10E6E"/>
    <w:rsid w:val="5FF73DE4"/>
    <w:rsid w:val="5FF9872F"/>
    <w:rsid w:val="5FFBB232"/>
    <w:rsid w:val="5FFF1225"/>
    <w:rsid w:val="5FFF26EC"/>
    <w:rsid w:val="60E0AAC7"/>
    <w:rsid w:val="635EDB8A"/>
    <w:rsid w:val="667D2ACA"/>
    <w:rsid w:val="66F7C9BC"/>
    <w:rsid w:val="66FFA01E"/>
    <w:rsid w:val="66FFE196"/>
    <w:rsid w:val="67B9118D"/>
    <w:rsid w:val="67BB3EE9"/>
    <w:rsid w:val="67CF0E7D"/>
    <w:rsid w:val="67DB9F0E"/>
    <w:rsid w:val="67E3A123"/>
    <w:rsid w:val="67EEBC58"/>
    <w:rsid w:val="67FA9866"/>
    <w:rsid w:val="68969315"/>
    <w:rsid w:val="693B9E75"/>
    <w:rsid w:val="6954F697"/>
    <w:rsid w:val="697BFF46"/>
    <w:rsid w:val="69FF0EAF"/>
    <w:rsid w:val="6BBECAFF"/>
    <w:rsid w:val="6BBFC9BA"/>
    <w:rsid w:val="6BFD03FD"/>
    <w:rsid w:val="6CBAB9A1"/>
    <w:rsid w:val="6CFF6747"/>
    <w:rsid w:val="6D2FCEF4"/>
    <w:rsid w:val="6D4F7996"/>
    <w:rsid w:val="6D6F54D1"/>
    <w:rsid w:val="6D705BE4"/>
    <w:rsid w:val="6D7DA872"/>
    <w:rsid w:val="6D9EFB91"/>
    <w:rsid w:val="6D9F7690"/>
    <w:rsid w:val="6D9FFC31"/>
    <w:rsid w:val="6DFC39EA"/>
    <w:rsid w:val="6DFFFE9D"/>
    <w:rsid w:val="6E3FD565"/>
    <w:rsid w:val="6EE54547"/>
    <w:rsid w:val="6EEF9FC4"/>
    <w:rsid w:val="6F3FAA6B"/>
    <w:rsid w:val="6F4F525C"/>
    <w:rsid w:val="6F979FE4"/>
    <w:rsid w:val="6FBAABBD"/>
    <w:rsid w:val="6FBAD08F"/>
    <w:rsid w:val="6FDF0BD2"/>
    <w:rsid w:val="6FDF84D6"/>
    <w:rsid w:val="6FE4A4A8"/>
    <w:rsid w:val="6FFA3B34"/>
    <w:rsid w:val="6FFDD2EE"/>
    <w:rsid w:val="6FFF4A0A"/>
    <w:rsid w:val="6FFFAF2E"/>
    <w:rsid w:val="71DD2D17"/>
    <w:rsid w:val="71DFF7F6"/>
    <w:rsid w:val="72F79874"/>
    <w:rsid w:val="73770643"/>
    <w:rsid w:val="73A7312B"/>
    <w:rsid w:val="73EDCF14"/>
    <w:rsid w:val="73FF6218"/>
    <w:rsid w:val="74EC2413"/>
    <w:rsid w:val="757F0D0E"/>
    <w:rsid w:val="759E3C88"/>
    <w:rsid w:val="75B8CB90"/>
    <w:rsid w:val="75E68006"/>
    <w:rsid w:val="75F606A5"/>
    <w:rsid w:val="75F62809"/>
    <w:rsid w:val="75F71762"/>
    <w:rsid w:val="7667290A"/>
    <w:rsid w:val="7677D92C"/>
    <w:rsid w:val="769F503F"/>
    <w:rsid w:val="76DD0309"/>
    <w:rsid w:val="76DDEA22"/>
    <w:rsid w:val="76F771F0"/>
    <w:rsid w:val="76FE015F"/>
    <w:rsid w:val="773F6B31"/>
    <w:rsid w:val="7747631A"/>
    <w:rsid w:val="77574D4D"/>
    <w:rsid w:val="775FC7D8"/>
    <w:rsid w:val="777E6205"/>
    <w:rsid w:val="779F09C5"/>
    <w:rsid w:val="77A6C394"/>
    <w:rsid w:val="77B4C1F6"/>
    <w:rsid w:val="77BF67D7"/>
    <w:rsid w:val="77CFF37B"/>
    <w:rsid w:val="77D75C72"/>
    <w:rsid w:val="77DB5105"/>
    <w:rsid w:val="77DEC721"/>
    <w:rsid w:val="77DF513C"/>
    <w:rsid w:val="77EF2AE2"/>
    <w:rsid w:val="77EFDC01"/>
    <w:rsid w:val="77FB6510"/>
    <w:rsid w:val="77FB7AA2"/>
    <w:rsid w:val="77FBE800"/>
    <w:rsid w:val="77FD6CBF"/>
    <w:rsid w:val="77FE449F"/>
    <w:rsid w:val="77FE629E"/>
    <w:rsid w:val="77FF906E"/>
    <w:rsid w:val="77FFBA00"/>
    <w:rsid w:val="787AFE99"/>
    <w:rsid w:val="79764F3A"/>
    <w:rsid w:val="79B69E5A"/>
    <w:rsid w:val="79BB8C68"/>
    <w:rsid w:val="79EC7B9C"/>
    <w:rsid w:val="79F768A1"/>
    <w:rsid w:val="79FBEDC2"/>
    <w:rsid w:val="79FF14EA"/>
    <w:rsid w:val="79FF46FF"/>
    <w:rsid w:val="79FFE10C"/>
    <w:rsid w:val="7A3F0D9E"/>
    <w:rsid w:val="7A4D47BD"/>
    <w:rsid w:val="7A55EBB6"/>
    <w:rsid w:val="7A78D4EA"/>
    <w:rsid w:val="7ABF3247"/>
    <w:rsid w:val="7AC3A26A"/>
    <w:rsid w:val="7ACD07AF"/>
    <w:rsid w:val="7AEBC342"/>
    <w:rsid w:val="7AED926A"/>
    <w:rsid w:val="7AF5079B"/>
    <w:rsid w:val="7AFF33D5"/>
    <w:rsid w:val="7B3F953F"/>
    <w:rsid w:val="7B51B0CD"/>
    <w:rsid w:val="7B577374"/>
    <w:rsid w:val="7B7CC740"/>
    <w:rsid w:val="7B8B9011"/>
    <w:rsid w:val="7BBB4902"/>
    <w:rsid w:val="7BCF2F2C"/>
    <w:rsid w:val="7BDFDB00"/>
    <w:rsid w:val="7BE7F0B5"/>
    <w:rsid w:val="7BEC7B39"/>
    <w:rsid w:val="7BEDA7FF"/>
    <w:rsid w:val="7BEFE105"/>
    <w:rsid w:val="7BF22160"/>
    <w:rsid w:val="7BF5FC70"/>
    <w:rsid w:val="7BFFD615"/>
    <w:rsid w:val="7CBF4774"/>
    <w:rsid w:val="7CDBB687"/>
    <w:rsid w:val="7CDDFFC9"/>
    <w:rsid w:val="7CEF13A7"/>
    <w:rsid w:val="7CFF76CB"/>
    <w:rsid w:val="7CFFD19B"/>
    <w:rsid w:val="7D7F8D67"/>
    <w:rsid w:val="7D7F934C"/>
    <w:rsid w:val="7D8DA365"/>
    <w:rsid w:val="7DA7A9AA"/>
    <w:rsid w:val="7DB7B569"/>
    <w:rsid w:val="7DBBACF1"/>
    <w:rsid w:val="7DBF9004"/>
    <w:rsid w:val="7DBFE8AF"/>
    <w:rsid w:val="7DCF3C5D"/>
    <w:rsid w:val="7DDD4547"/>
    <w:rsid w:val="7DDFD31A"/>
    <w:rsid w:val="7DEB8311"/>
    <w:rsid w:val="7DEF0E33"/>
    <w:rsid w:val="7DEF133A"/>
    <w:rsid w:val="7DF66638"/>
    <w:rsid w:val="7E37628A"/>
    <w:rsid w:val="7E3B5A0A"/>
    <w:rsid w:val="7E6588A9"/>
    <w:rsid w:val="7E6DD345"/>
    <w:rsid w:val="7E73A9B8"/>
    <w:rsid w:val="7E97185B"/>
    <w:rsid w:val="7E9F365D"/>
    <w:rsid w:val="7EBF6838"/>
    <w:rsid w:val="7ECE0D9A"/>
    <w:rsid w:val="7ED9BB10"/>
    <w:rsid w:val="7EDEA690"/>
    <w:rsid w:val="7EDF3C79"/>
    <w:rsid w:val="7EDFF96D"/>
    <w:rsid w:val="7EEB5133"/>
    <w:rsid w:val="7EEEC3DE"/>
    <w:rsid w:val="7EEF056D"/>
    <w:rsid w:val="7EEF5258"/>
    <w:rsid w:val="7EEF742A"/>
    <w:rsid w:val="7F17033F"/>
    <w:rsid w:val="7F37BF67"/>
    <w:rsid w:val="7F57D4B7"/>
    <w:rsid w:val="7F6B6F86"/>
    <w:rsid w:val="7F6F18B1"/>
    <w:rsid w:val="7F6F2562"/>
    <w:rsid w:val="7F788D85"/>
    <w:rsid w:val="7F7DCF24"/>
    <w:rsid w:val="7F7E636B"/>
    <w:rsid w:val="7F7E82E3"/>
    <w:rsid w:val="7F7EC773"/>
    <w:rsid w:val="7F7F887E"/>
    <w:rsid w:val="7F9E4E2C"/>
    <w:rsid w:val="7F9F73E6"/>
    <w:rsid w:val="7FAF9FAD"/>
    <w:rsid w:val="7FB6D035"/>
    <w:rsid w:val="7FB93241"/>
    <w:rsid w:val="7FBA379D"/>
    <w:rsid w:val="7FBBD51D"/>
    <w:rsid w:val="7FBBE154"/>
    <w:rsid w:val="7FBCD678"/>
    <w:rsid w:val="7FBF128B"/>
    <w:rsid w:val="7FC71B48"/>
    <w:rsid w:val="7FD77268"/>
    <w:rsid w:val="7FDF2F67"/>
    <w:rsid w:val="7FDFE018"/>
    <w:rsid w:val="7FDFE330"/>
    <w:rsid w:val="7FE5AFD7"/>
    <w:rsid w:val="7FEF5F4F"/>
    <w:rsid w:val="7FEFDCC9"/>
    <w:rsid w:val="7FF091BA"/>
    <w:rsid w:val="7FF3C423"/>
    <w:rsid w:val="7FF3FE3F"/>
    <w:rsid w:val="7FF7482C"/>
    <w:rsid w:val="7FF7D290"/>
    <w:rsid w:val="7FF80150"/>
    <w:rsid w:val="7FFAEF96"/>
    <w:rsid w:val="7FFBED60"/>
    <w:rsid w:val="7FFD1617"/>
    <w:rsid w:val="7FFD85F8"/>
    <w:rsid w:val="7FFE6D3E"/>
    <w:rsid w:val="7FFEDF65"/>
    <w:rsid w:val="7FFF1660"/>
    <w:rsid w:val="7FFF251B"/>
    <w:rsid w:val="7FFF743B"/>
    <w:rsid w:val="7FFF87FE"/>
    <w:rsid w:val="7FFFA743"/>
    <w:rsid w:val="7FFFBB7A"/>
    <w:rsid w:val="8CFF9D3B"/>
    <w:rsid w:val="8DAF5338"/>
    <w:rsid w:val="90FA6346"/>
    <w:rsid w:val="95FECD32"/>
    <w:rsid w:val="966C3A4D"/>
    <w:rsid w:val="97AF3B9C"/>
    <w:rsid w:val="97BFE51C"/>
    <w:rsid w:val="99AE1624"/>
    <w:rsid w:val="9ADF4F42"/>
    <w:rsid w:val="9B8EAC38"/>
    <w:rsid w:val="9BD9BAEB"/>
    <w:rsid w:val="9D75F264"/>
    <w:rsid w:val="9E7F288A"/>
    <w:rsid w:val="9F7F1062"/>
    <w:rsid w:val="9FABA618"/>
    <w:rsid w:val="9FDF3099"/>
    <w:rsid w:val="9FE7217D"/>
    <w:rsid w:val="9FEBAA93"/>
    <w:rsid w:val="A6FF91C7"/>
    <w:rsid w:val="A7FCD15A"/>
    <w:rsid w:val="A9DF68E1"/>
    <w:rsid w:val="AAFDA940"/>
    <w:rsid w:val="AB7DA11D"/>
    <w:rsid w:val="ABFF899D"/>
    <w:rsid w:val="ACD7E761"/>
    <w:rsid w:val="AEABB936"/>
    <w:rsid w:val="AEAF7759"/>
    <w:rsid w:val="AEC7D87F"/>
    <w:rsid w:val="AF7B3FE0"/>
    <w:rsid w:val="AFBEA9E7"/>
    <w:rsid w:val="AFC7788D"/>
    <w:rsid w:val="AFD70E73"/>
    <w:rsid w:val="AFE6CE91"/>
    <w:rsid w:val="AFF7B234"/>
    <w:rsid w:val="AFFF4E45"/>
    <w:rsid w:val="B2A6506F"/>
    <w:rsid w:val="B2EFE5BC"/>
    <w:rsid w:val="B3DFF61C"/>
    <w:rsid w:val="B3EB1460"/>
    <w:rsid w:val="B46FC5DA"/>
    <w:rsid w:val="B47F9F03"/>
    <w:rsid w:val="B59FF02B"/>
    <w:rsid w:val="B5BF901A"/>
    <w:rsid w:val="B5F72D7A"/>
    <w:rsid w:val="B6752B4C"/>
    <w:rsid w:val="B7E39CF9"/>
    <w:rsid w:val="B7FFA7A2"/>
    <w:rsid w:val="B88F3D36"/>
    <w:rsid w:val="B95FF239"/>
    <w:rsid w:val="BA730677"/>
    <w:rsid w:val="BADD9316"/>
    <w:rsid w:val="BB2FD2FF"/>
    <w:rsid w:val="BB6FE8FE"/>
    <w:rsid w:val="BBBF059D"/>
    <w:rsid w:val="BBEFC45C"/>
    <w:rsid w:val="BBFB20DD"/>
    <w:rsid w:val="BBFF03E4"/>
    <w:rsid w:val="BBFFA2BB"/>
    <w:rsid w:val="BCBC2336"/>
    <w:rsid w:val="BDB5D910"/>
    <w:rsid w:val="BDDDCB6E"/>
    <w:rsid w:val="BDE40CA3"/>
    <w:rsid w:val="BDF662E1"/>
    <w:rsid w:val="BDFF42F0"/>
    <w:rsid w:val="BDFFAE89"/>
    <w:rsid w:val="BE368D19"/>
    <w:rsid w:val="BE5FCDF9"/>
    <w:rsid w:val="BE6DA158"/>
    <w:rsid w:val="BE7F779C"/>
    <w:rsid w:val="BE7FB317"/>
    <w:rsid w:val="BEC7510E"/>
    <w:rsid w:val="BEDEC9A6"/>
    <w:rsid w:val="BEFB1C57"/>
    <w:rsid w:val="BEFF5028"/>
    <w:rsid w:val="BF6F19E3"/>
    <w:rsid w:val="BF91A569"/>
    <w:rsid w:val="BFAB2E6C"/>
    <w:rsid w:val="BFABCB7D"/>
    <w:rsid w:val="BFB77838"/>
    <w:rsid w:val="BFBF8E6D"/>
    <w:rsid w:val="BFCD8AE0"/>
    <w:rsid w:val="BFCEDE1E"/>
    <w:rsid w:val="BFD653A2"/>
    <w:rsid w:val="BFDDAD8F"/>
    <w:rsid w:val="BFDFDC69"/>
    <w:rsid w:val="BFEE6BE5"/>
    <w:rsid w:val="BFF6DFDB"/>
    <w:rsid w:val="BFFC5514"/>
    <w:rsid w:val="BFFD68BE"/>
    <w:rsid w:val="BFFE468C"/>
    <w:rsid w:val="BFFE590E"/>
    <w:rsid w:val="BFFE987A"/>
    <w:rsid w:val="BFFF58E7"/>
    <w:rsid w:val="C2FFD773"/>
    <w:rsid w:val="C71D534C"/>
    <w:rsid w:val="C7DF62B9"/>
    <w:rsid w:val="C7FB9FB3"/>
    <w:rsid w:val="CB5EB30F"/>
    <w:rsid w:val="CBFF1F62"/>
    <w:rsid w:val="CDBD4AD4"/>
    <w:rsid w:val="CDBF1BA0"/>
    <w:rsid w:val="CDCB9688"/>
    <w:rsid w:val="CF3E4978"/>
    <w:rsid w:val="CF7FA8BC"/>
    <w:rsid w:val="CFDB4B41"/>
    <w:rsid w:val="CFDCD56F"/>
    <w:rsid w:val="CFFB3350"/>
    <w:rsid w:val="CFFE2E9B"/>
    <w:rsid w:val="CFFE4600"/>
    <w:rsid w:val="CFFF477D"/>
    <w:rsid w:val="D2566F42"/>
    <w:rsid w:val="D2ABCE46"/>
    <w:rsid w:val="D3AB85D9"/>
    <w:rsid w:val="D53F0E7F"/>
    <w:rsid w:val="D5DF00B9"/>
    <w:rsid w:val="D5E60EBC"/>
    <w:rsid w:val="D67F2AD8"/>
    <w:rsid w:val="D6979E6C"/>
    <w:rsid w:val="D6EF4985"/>
    <w:rsid w:val="D77AF4D5"/>
    <w:rsid w:val="D7DE62DA"/>
    <w:rsid w:val="D7DF237F"/>
    <w:rsid w:val="D7EBD98D"/>
    <w:rsid w:val="D8FB0397"/>
    <w:rsid w:val="D9BDDDF8"/>
    <w:rsid w:val="D9CFA6EE"/>
    <w:rsid w:val="DA953DC3"/>
    <w:rsid w:val="DADC9A91"/>
    <w:rsid w:val="DB477978"/>
    <w:rsid w:val="DB5F7AB0"/>
    <w:rsid w:val="DB77F4CD"/>
    <w:rsid w:val="DB7F09AA"/>
    <w:rsid w:val="DB9BB74E"/>
    <w:rsid w:val="DB9F2528"/>
    <w:rsid w:val="DBED87A1"/>
    <w:rsid w:val="DBEF3406"/>
    <w:rsid w:val="DBFD9073"/>
    <w:rsid w:val="DC59037C"/>
    <w:rsid w:val="DC6F2E1A"/>
    <w:rsid w:val="DCC77F22"/>
    <w:rsid w:val="DCEF3FEB"/>
    <w:rsid w:val="DCFF8797"/>
    <w:rsid w:val="DD26CE21"/>
    <w:rsid w:val="DD2C82DA"/>
    <w:rsid w:val="DD4D6BB3"/>
    <w:rsid w:val="DD5B1268"/>
    <w:rsid w:val="DD5B5113"/>
    <w:rsid w:val="DD7DA51F"/>
    <w:rsid w:val="DD95A25A"/>
    <w:rsid w:val="DDBEB698"/>
    <w:rsid w:val="DDEF4813"/>
    <w:rsid w:val="DDF31F20"/>
    <w:rsid w:val="DDF54EBA"/>
    <w:rsid w:val="DE3F31FD"/>
    <w:rsid w:val="DEBFD9DE"/>
    <w:rsid w:val="DEF67B81"/>
    <w:rsid w:val="DEFB90F9"/>
    <w:rsid w:val="DEFBB13A"/>
    <w:rsid w:val="DF6E5A00"/>
    <w:rsid w:val="DF75C861"/>
    <w:rsid w:val="DF79C197"/>
    <w:rsid w:val="DF7FCD13"/>
    <w:rsid w:val="DFBF2FC7"/>
    <w:rsid w:val="DFDA0D85"/>
    <w:rsid w:val="DFDB62A7"/>
    <w:rsid w:val="DFDDA2B0"/>
    <w:rsid w:val="DFEEB674"/>
    <w:rsid w:val="DFEF282A"/>
    <w:rsid w:val="DFF55E4C"/>
    <w:rsid w:val="DFF5B1A9"/>
    <w:rsid w:val="DFF9900F"/>
    <w:rsid w:val="DFFD1741"/>
    <w:rsid w:val="DFFE556A"/>
    <w:rsid w:val="DFFEF34B"/>
    <w:rsid w:val="DFFF46E6"/>
    <w:rsid w:val="DFFFC31C"/>
    <w:rsid w:val="E17E7B02"/>
    <w:rsid w:val="E19731E4"/>
    <w:rsid w:val="E19EB7DE"/>
    <w:rsid w:val="E1FE9D0D"/>
    <w:rsid w:val="E27B72F2"/>
    <w:rsid w:val="E36F8CBF"/>
    <w:rsid w:val="E3B74DEB"/>
    <w:rsid w:val="E53B8EB8"/>
    <w:rsid w:val="E55ED76A"/>
    <w:rsid w:val="E56D7F36"/>
    <w:rsid w:val="E57AF71E"/>
    <w:rsid w:val="E57BBFEB"/>
    <w:rsid w:val="E5BF7A99"/>
    <w:rsid w:val="E5DE4786"/>
    <w:rsid w:val="E63761DC"/>
    <w:rsid w:val="E7EBB38C"/>
    <w:rsid w:val="E7F6F3DF"/>
    <w:rsid w:val="E9FB764C"/>
    <w:rsid w:val="EAFB175D"/>
    <w:rsid w:val="EAFE413C"/>
    <w:rsid w:val="EAFF44C0"/>
    <w:rsid w:val="EBBE3391"/>
    <w:rsid w:val="EBBF6C4A"/>
    <w:rsid w:val="EBD76251"/>
    <w:rsid w:val="EBDF3DD6"/>
    <w:rsid w:val="EBFD57AC"/>
    <w:rsid w:val="EBFFD30B"/>
    <w:rsid w:val="EC6FEC5F"/>
    <w:rsid w:val="ECD595AC"/>
    <w:rsid w:val="ECFBB95D"/>
    <w:rsid w:val="ED72854D"/>
    <w:rsid w:val="ED77573B"/>
    <w:rsid w:val="ED9FB7DB"/>
    <w:rsid w:val="EDBCA9B4"/>
    <w:rsid w:val="EDBD1F9A"/>
    <w:rsid w:val="EDCAF2C7"/>
    <w:rsid w:val="EDF5CCE0"/>
    <w:rsid w:val="EDFFD4E7"/>
    <w:rsid w:val="EE0E21BC"/>
    <w:rsid w:val="EEDD5B98"/>
    <w:rsid w:val="EEE3A217"/>
    <w:rsid w:val="EEF68768"/>
    <w:rsid w:val="EF3FBFDF"/>
    <w:rsid w:val="EF5FD831"/>
    <w:rsid w:val="EF77D1DF"/>
    <w:rsid w:val="EF7EEA5E"/>
    <w:rsid w:val="EFBF879B"/>
    <w:rsid w:val="EFBFF58C"/>
    <w:rsid w:val="EFCEBF9C"/>
    <w:rsid w:val="EFCFE84E"/>
    <w:rsid w:val="EFD9D57C"/>
    <w:rsid w:val="EFDA3F16"/>
    <w:rsid w:val="EFDF2D30"/>
    <w:rsid w:val="EFF323AB"/>
    <w:rsid w:val="EFF7C6EC"/>
    <w:rsid w:val="EFFE47AC"/>
    <w:rsid w:val="EFFE590F"/>
    <w:rsid w:val="EFFE89CF"/>
    <w:rsid w:val="EFFF9E5C"/>
    <w:rsid w:val="F0FB9A01"/>
    <w:rsid w:val="F1960668"/>
    <w:rsid w:val="F1F6BDEB"/>
    <w:rsid w:val="F2768ECE"/>
    <w:rsid w:val="F2AF9FCB"/>
    <w:rsid w:val="F2FF3A22"/>
    <w:rsid w:val="F3575C64"/>
    <w:rsid w:val="F35F9F26"/>
    <w:rsid w:val="F3975035"/>
    <w:rsid w:val="F3B98233"/>
    <w:rsid w:val="F3BA986F"/>
    <w:rsid w:val="F3FE825A"/>
    <w:rsid w:val="F3FF536B"/>
    <w:rsid w:val="F526099E"/>
    <w:rsid w:val="F57FC1A6"/>
    <w:rsid w:val="F5B77955"/>
    <w:rsid w:val="F5C5FD1D"/>
    <w:rsid w:val="F5CEA1B7"/>
    <w:rsid w:val="F5DD060E"/>
    <w:rsid w:val="F5F9A6FB"/>
    <w:rsid w:val="F5FF808E"/>
    <w:rsid w:val="F67F67F6"/>
    <w:rsid w:val="F67FFE61"/>
    <w:rsid w:val="F69EE7B4"/>
    <w:rsid w:val="F6FEDF08"/>
    <w:rsid w:val="F6FFE5CD"/>
    <w:rsid w:val="F76E93D2"/>
    <w:rsid w:val="F76F47D3"/>
    <w:rsid w:val="F76F9017"/>
    <w:rsid w:val="F77EC7B3"/>
    <w:rsid w:val="F7AB3CBC"/>
    <w:rsid w:val="F7BFA19F"/>
    <w:rsid w:val="F7DFC204"/>
    <w:rsid w:val="F7DFE3BD"/>
    <w:rsid w:val="F7E5B711"/>
    <w:rsid w:val="F7F3175D"/>
    <w:rsid w:val="F7F44B1E"/>
    <w:rsid w:val="F7F5C99E"/>
    <w:rsid w:val="F7FB01BC"/>
    <w:rsid w:val="F7FB4994"/>
    <w:rsid w:val="F8BBA122"/>
    <w:rsid w:val="F8FF817C"/>
    <w:rsid w:val="F96D601F"/>
    <w:rsid w:val="F9A7410D"/>
    <w:rsid w:val="F9ECCE2C"/>
    <w:rsid w:val="F9FCF91D"/>
    <w:rsid w:val="FA7F1682"/>
    <w:rsid w:val="FAC28AA1"/>
    <w:rsid w:val="FADEABDA"/>
    <w:rsid w:val="FADFBE4C"/>
    <w:rsid w:val="FAE52FAB"/>
    <w:rsid w:val="FAF5A449"/>
    <w:rsid w:val="FAF71099"/>
    <w:rsid w:val="FAFB431B"/>
    <w:rsid w:val="FB5D20BF"/>
    <w:rsid w:val="FB5D37C9"/>
    <w:rsid w:val="FB7F41CF"/>
    <w:rsid w:val="FB961BD7"/>
    <w:rsid w:val="FBA13A16"/>
    <w:rsid w:val="FBA760B4"/>
    <w:rsid w:val="FBAA8512"/>
    <w:rsid w:val="FBBF7A04"/>
    <w:rsid w:val="FBCBCE38"/>
    <w:rsid w:val="FBD1BD0E"/>
    <w:rsid w:val="FBD5C862"/>
    <w:rsid w:val="FBDB1F16"/>
    <w:rsid w:val="FBDFE470"/>
    <w:rsid w:val="FBDFEBA6"/>
    <w:rsid w:val="FBE756BD"/>
    <w:rsid w:val="FBEA5117"/>
    <w:rsid w:val="FBF899A8"/>
    <w:rsid w:val="FBFB2478"/>
    <w:rsid w:val="FBFF0E24"/>
    <w:rsid w:val="FBFFE99D"/>
    <w:rsid w:val="FCBF4E69"/>
    <w:rsid w:val="FCC617AB"/>
    <w:rsid w:val="FCFB9A1D"/>
    <w:rsid w:val="FCFD071B"/>
    <w:rsid w:val="FCFF63D7"/>
    <w:rsid w:val="FCFFA1D4"/>
    <w:rsid w:val="FD3AD8AE"/>
    <w:rsid w:val="FD53FDA7"/>
    <w:rsid w:val="FD5F1B6D"/>
    <w:rsid w:val="FD5F75FB"/>
    <w:rsid w:val="FD755131"/>
    <w:rsid w:val="FD77847A"/>
    <w:rsid w:val="FD79D7EC"/>
    <w:rsid w:val="FD7B2A9E"/>
    <w:rsid w:val="FD7EA18F"/>
    <w:rsid w:val="FD7FCB33"/>
    <w:rsid w:val="FD9F5C77"/>
    <w:rsid w:val="FDCE3824"/>
    <w:rsid w:val="FDDC3483"/>
    <w:rsid w:val="FDF7732C"/>
    <w:rsid w:val="FDFD9E22"/>
    <w:rsid w:val="FDFDD458"/>
    <w:rsid w:val="FDFE1532"/>
    <w:rsid w:val="FE6FB587"/>
    <w:rsid w:val="FE77C20C"/>
    <w:rsid w:val="FE7FCDC6"/>
    <w:rsid w:val="FEDFEF0B"/>
    <w:rsid w:val="FEEB1174"/>
    <w:rsid w:val="FEEE0117"/>
    <w:rsid w:val="FEEE900B"/>
    <w:rsid w:val="FEF6267D"/>
    <w:rsid w:val="FEF6F0A4"/>
    <w:rsid w:val="FEFACDBC"/>
    <w:rsid w:val="FEFBC29B"/>
    <w:rsid w:val="FEFE7C32"/>
    <w:rsid w:val="FEFE7E16"/>
    <w:rsid w:val="FEFF148F"/>
    <w:rsid w:val="FF1F960F"/>
    <w:rsid w:val="FF71A54E"/>
    <w:rsid w:val="FF771B20"/>
    <w:rsid w:val="FF7BE781"/>
    <w:rsid w:val="FF7C93BB"/>
    <w:rsid w:val="FF7F2397"/>
    <w:rsid w:val="FF7F46DD"/>
    <w:rsid w:val="FF874C32"/>
    <w:rsid w:val="FF9700F9"/>
    <w:rsid w:val="FF9CFBA3"/>
    <w:rsid w:val="FF9FC48C"/>
    <w:rsid w:val="FFAD6F1D"/>
    <w:rsid w:val="FFAEFE78"/>
    <w:rsid w:val="FFAF57EA"/>
    <w:rsid w:val="FFB554A7"/>
    <w:rsid w:val="FFB789A5"/>
    <w:rsid w:val="FFBDC710"/>
    <w:rsid w:val="FFBF0386"/>
    <w:rsid w:val="FFBF09ED"/>
    <w:rsid w:val="FFBF92C1"/>
    <w:rsid w:val="FFBFCD07"/>
    <w:rsid w:val="FFC81999"/>
    <w:rsid w:val="FFCB75F7"/>
    <w:rsid w:val="FFCD9711"/>
    <w:rsid w:val="FFCDA0B8"/>
    <w:rsid w:val="FFCF9C8B"/>
    <w:rsid w:val="FFD188B4"/>
    <w:rsid w:val="FFD2FC27"/>
    <w:rsid w:val="FFD77B0E"/>
    <w:rsid w:val="FFDBEF9B"/>
    <w:rsid w:val="FFDEAD71"/>
    <w:rsid w:val="FFDF8C0C"/>
    <w:rsid w:val="FFDFEE95"/>
    <w:rsid w:val="FFDFF70E"/>
    <w:rsid w:val="FFE707A3"/>
    <w:rsid w:val="FFE75672"/>
    <w:rsid w:val="FFE7F38D"/>
    <w:rsid w:val="FFEE0B77"/>
    <w:rsid w:val="FFEF086F"/>
    <w:rsid w:val="FFEFC1D2"/>
    <w:rsid w:val="FFF6C0AA"/>
    <w:rsid w:val="FFF7C4DA"/>
    <w:rsid w:val="FFFA242C"/>
    <w:rsid w:val="FFFB13D3"/>
    <w:rsid w:val="FFFB34D2"/>
    <w:rsid w:val="FFFB60AC"/>
    <w:rsid w:val="FFFD0EEC"/>
    <w:rsid w:val="FFFD8024"/>
    <w:rsid w:val="FFFD9B38"/>
    <w:rsid w:val="FFFDB1A8"/>
    <w:rsid w:val="FFFE3FB1"/>
    <w:rsid w:val="FFFF99B7"/>
    <w:rsid w:val="FFFFE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endnote text"/>
    <w:basedOn w:val="1"/>
    <w:qFormat/>
    <w:uiPriority w:val="0"/>
    <w:pPr>
      <w:snapToGrid w:val="0"/>
      <w:jc w:val="left"/>
    </w:p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ndnote reference"/>
    <w:basedOn w:val="7"/>
    <w:qFormat/>
    <w:uiPriority w:val="0"/>
    <w:rPr>
      <w:vertAlign w:val="superscript"/>
    </w:rPr>
  </w:style>
  <w:style w:type="character" w:styleId="10">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2024-07-09T05:47:00Z</dcterms:created>
  <dc:creator>曹硕森</dc:creator>
  <cp:lastModifiedBy>方钧亮律师</cp:lastModifiedBy>
  <dcterms:modified xsi:type="dcterms:W3CDTF">2024-08-27T02:50:09Z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C9FD31567B1941C990297169938C0E8A</vt:lpwstr>
  </property>
</Properties>
</file>