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35D10">
      <w:pPr>
        <w:jc w:val="center"/>
        <w:rPr>
          <w:rFonts w:hint="default" w:eastAsiaTheme="minorEastAsia"/>
          <w:sz w:val="44"/>
          <w:szCs w:val="44"/>
          <w:lang w:val="en-US" w:eastAsia="zh-CN"/>
        </w:rPr>
      </w:pPr>
      <w:r>
        <w:rPr>
          <w:rFonts w:hint="eastAsia"/>
          <w:b/>
          <w:bCs/>
          <w:sz w:val="44"/>
          <w:szCs w:val="44"/>
        </w:rPr>
        <w:t>知识产权刑民交叉案件</w:t>
      </w:r>
      <w:r>
        <w:rPr>
          <w:rFonts w:hint="eastAsia"/>
          <w:b/>
          <w:bCs/>
          <w:sz w:val="44"/>
          <w:szCs w:val="44"/>
          <w:lang w:val="en-US" w:eastAsia="zh-CN"/>
        </w:rPr>
        <w:t>处理程序探究</w:t>
      </w:r>
    </w:p>
    <w:p w14:paraId="7D0EBC1F">
      <w:pPr>
        <w:ind w:firstLine="560" w:firstLineChars="200"/>
        <w:rPr>
          <w:rFonts w:hint="eastAsia" w:ascii="仿宋" w:hAnsi="仿宋" w:eastAsia="仿宋" w:cs="仿宋"/>
          <w:sz w:val="28"/>
          <w:szCs w:val="28"/>
          <w:lang w:val="en-US" w:eastAsia="zh-CN"/>
        </w:rPr>
      </w:pPr>
    </w:p>
    <w:p w14:paraId="150514D0">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摘要】由于法律规定的模糊性，知识产权刑民交叉案件如何处理，司法实践中和理论上存在多种处理方式，给相关公众和从业人员造成了很大的困惑。该文从梳理参考一般民商事案件涉刑民交叉案件处理的相关法律和司法文件规定，以及理论和司法实践中存在的多种处理方式并存的角度，以保障权利人程序选择权角度，提出如何更好的解决涉及知识产权刑民交叉案件在程序上的处理规则。对于类似案件的处理，提供了新的不同以往之解决路径。</w:t>
      </w:r>
    </w:p>
    <w:p w14:paraId="3DA21220">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【关键词】知识产权 刑民交叉 先刑后民 先民后刑 刑民并举</w:t>
      </w:r>
    </w:p>
    <w:p w14:paraId="540C2ABD">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14:paraId="44D334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tLeast"/>
        <w:ind w:left="0" w:righ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不少情节严重的知识产权民事侵权类案件，由于同时符合刑事犯罪的构成要件，而可能同时触犯刑法的规定，如考虑同时追究侵权人民事责任和刑事责任，该类知识产权案件，就存在刑民交叉的处理问题。由于公法与私法的理念差异、制裁与赔偿的机能分工，司法机关在涉及刑事与民事交叉案件的认定处理时，很容易导致刑事诉讼与民事诉讼程序之间的冲突，并由此产生法律救济真空</w:t>
      </w:r>
      <w:r>
        <w:rPr>
          <w:rStyle w:val="8"/>
          <w:rFonts w:hint="eastAsia" w:ascii="仿宋" w:hAnsi="仿宋" w:eastAsia="仿宋" w:cs="仿宋"/>
          <w:sz w:val="28"/>
          <w:szCs w:val="28"/>
          <w:lang w:val="en-US" w:eastAsia="zh-CN"/>
        </w:rPr>
        <w:endnoteReference w:id="0"/>
      </w:r>
      <w:r>
        <w:rPr>
          <w:rFonts w:hint="eastAsia" w:ascii="仿宋" w:hAnsi="仿宋" w:eastAsia="仿宋" w:cs="仿宋"/>
          <w:sz w:val="28"/>
          <w:szCs w:val="28"/>
          <w:lang w:val="en-US" w:eastAsia="zh-CN"/>
        </w:rPr>
        <w:t>。</w:t>
      </w:r>
    </w:p>
    <w:p w14:paraId="011C238F">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随着加强知识产权保护司法理念的进一步普及，权利人知识产权保护意识的逐步提升，知识产权民事和刑事多种保护方式的推广应用，知识产权刑民交叉案件越来越常见。但是，知识产权民刑交叉案件的处理方式在我国却没有明确统一的法律规定，同时在理论上也没有形成统一的学说，因此，导致司法实践中处理知识产权刑民交叉案件时，存在着多种不同的处理方式。导致司法实践中法官就审理模式的选取，表现出较大的自由裁量权</w:t>
      </w:r>
      <w:r>
        <w:rPr>
          <w:rStyle w:val="8"/>
          <w:rFonts w:hint="eastAsia" w:ascii="仿宋" w:hAnsi="仿宋" w:eastAsia="仿宋" w:cs="仿宋"/>
          <w:sz w:val="28"/>
          <w:szCs w:val="28"/>
          <w:lang w:val="en-US" w:eastAsia="zh-CN"/>
        </w:rPr>
        <w:endnoteReference w:id="1"/>
      </w:r>
      <w:r>
        <w:rPr>
          <w:rFonts w:hint="eastAsia" w:ascii="仿宋" w:hAnsi="仿宋" w:eastAsia="仿宋" w:cs="仿宋"/>
          <w:sz w:val="28"/>
          <w:szCs w:val="28"/>
          <w:lang w:val="en-US" w:eastAsia="zh-CN"/>
        </w:rPr>
        <w:t>。故探讨如何找到统一的处理原则，明晰适用规则，无论是在理论上，还是在司法实务中，抑或对于知识产权权利人，甚至侵权人等相关公众的预期来说，具有非常重要的意义。</w:t>
      </w:r>
    </w:p>
    <w:p w14:paraId="0D23FA86">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关于知识产权刑民交叉的案件类型，从案件事实和法律关系的重合程度上来说，可以区分为事实牵连型的知识产权刑民交叉案件和事实重合型的知识产权刑民交叉案件。即前者仅在案件事实上存在一定的关联，但在案件事实或者法律关系等方面存在区别；而后者则无论是事实，还是法律关系上均是相同的。对于前者，无论是理论上还是司法实务中，都一致认为刑事和民事应各自独立推进，民刑诉讼各自具有独立性，即适用刑民独立原则</w:t>
      </w:r>
      <w:r>
        <w:rPr>
          <w:rStyle w:val="8"/>
          <w:rFonts w:hint="eastAsia" w:ascii="仿宋" w:hAnsi="仿宋" w:eastAsia="仿宋" w:cs="仿宋"/>
          <w:sz w:val="28"/>
          <w:szCs w:val="28"/>
          <w:lang w:val="en-US" w:eastAsia="zh-CN"/>
        </w:rPr>
        <w:endnoteReference w:id="2"/>
      </w:r>
      <w:r>
        <w:rPr>
          <w:rFonts w:hint="eastAsia" w:ascii="仿宋" w:hAnsi="仿宋" w:eastAsia="仿宋" w:cs="仿宋"/>
          <w:sz w:val="28"/>
          <w:szCs w:val="28"/>
          <w:lang w:val="en-US" w:eastAsia="zh-CN"/>
        </w:rPr>
        <w:t>。如早在1998年，《最高人民法院关于在审理经济纠纷案件中涉及经济犯罪嫌疑若干问题的规定》（法释（1998）7号）</w:t>
      </w:r>
      <w:r>
        <w:rPr>
          <w:rStyle w:val="8"/>
          <w:rFonts w:hint="eastAsia" w:ascii="仿宋" w:hAnsi="仿宋" w:eastAsia="仿宋" w:cs="仿宋"/>
          <w:sz w:val="28"/>
          <w:szCs w:val="28"/>
          <w:lang w:val="en-US" w:eastAsia="zh-CN"/>
        </w:rPr>
        <w:endnoteReference w:id="3"/>
      </w:r>
      <w:r>
        <w:rPr>
          <w:rFonts w:hint="eastAsia" w:ascii="仿宋" w:hAnsi="仿宋" w:eastAsia="仿宋" w:cs="仿宋"/>
          <w:sz w:val="28"/>
          <w:szCs w:val="28"/>
          <w:lang w:val="en-US" w:eastAsia="zh-CN"/>
        </w:rPr>
        <w:t>第十条即规定：“人民法院在审理经济纠纷案件中，发现与本案有牵连，但与本案不是同一法律关系的经济犯罪嫌疑线索、材料，应将犯罪嫌疑线索、材料移送有关公安机关或检察机关查处，经济纠纷案件继续审理。”因此，对于该种类型的刑民交叉案件，由于认识上高度一致，就不再赘述。本文以下所涉及的刑民交叉案件，均是指后一种事实重合型的知识产权刑民交叉类型。</w:t>
      </w:r>
    </w:p>
    <w:p w14:paraId="18DCCB97">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必须说明的是，对于既涉及事实牵连又有事实重合的知识产权案件，如肇庆市金鹏实业有限公司、何某与深圳市都之杰实业有限公司等侵害商标权纠纷案</w:t>
      </w:r>
      <w:r>
        <w:rPr>
          <w:rStyle w:val="8"/>
          <w:rFonts w:hint="eastAsia" w:ascii="仿宋" w:hAnsi="仿宋" w:eastAsia="仿宋" w:cs="仿宋"/>
          <w:sz w:val="28"/>
          <w:szCs w:val="28"/>
          <w:lang w:val="en-US" w:eastAsia="zh-CN"/>
        </w:rPr>
        <w:endnoteReference w:id="4"/>
      </w:r>
      <w:r>
        <w:rPr>
          <w:rFonts w:hint="eastAsia" w:ascii="仿宋" w:hAnsi="仿宋" w:eastAsia="仿宋" w:cs="仿宋"/>
          <w:sz w:val="28"/>
          <w:szCs w:val="28"/>
          <w:lang w:val="en-US" w:eastAsia="zh-CN"/>
        </w:rPr>
        <w:t>。该案就存在除刑事犯罪认定的事实外，还存在“商标近似”、“商品类似”而在民事上侵害他人注册商标专用权的情形。本文也仅指事实重合的刑民交叉情形处理部分，不包括仅构成民事侵权部分。</w:t>
      </w:r>
    </w:p>
    <w:p w14:paraId="5453CF38">
      <w:pPr>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一、一般民商事案件刑民交叉处理规定</w:t>
      </w:r>
    </w:p>
    <w:p w14:paraId="1AC9E789">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我国并没有专门关于知识产权刑民交叉案件处理程序的相关法律规定和司法文件，仅有零星的规定。而知识产权民事侵权类案件，从分类上来说，相对于行政和刑事案件，同属于民商事类案件，因此，在没有专门法律规定的情形下，就有必要考虑借鉴类似的一般民商事案件涉刑民交叉法律关系时的处理规定。而零星的规定，由于不成体系，因此，以下一并作介绍。</w:t>
      </w:r>
    </w:p>
    <w:p w14:paraId="52D998D9">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我国一般民商事领域关于刑民交叉的规定，主要包括：</w:t>
      </w:r>
    </w:p>
    <w:p w14:paraId="3E6D9D3E">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如上所述，最高人民法院于1998年发布的《最高人民法院关于在审理经济纠纷案件中涉及经济犯罪嫌疑若干问题的规定》（法释（1998）7号）第十条作了专门的规定。同时，该司法解释第十一条规定：“人民法院作为经济纠纷受理的案件，经审理认为不属经济纠纷案件而有经济犯罪嫌疑的，应当裁定驳回起诉，将有关材料移送公安机关或检察机关。”第十二条规定：“人民法院已立案审理的经济纠纷案件，公安机关或检察机关认为有经济犯罪嫌疑，并说明理由附有关材料函告受理该案的人民法院的，有关人民法院应当认真审查。经过审查，认为确有经济犯罪嫌疑的，应当将案件移送公安机关或检察机关，并书面通知当事人，退还案件受理费；如认为确属经济纠纷案件的，应当依法继续审理，并将结果函告有关公安机关或检察机关。”该司法解释已比较详细的规定了法院在审理经济纠纷案件过程中发现涉及经济犯罪嫌疑时的处理方式。从该司法解释发布至今，上述规定成为全国各级法院在审理此类案件时的主要依据。</w:t>
      </w:r>
    </w:p>
    <w:p w14:paraId="340EC32A">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最高人民法院、最高人民检察院、公安部关于办理非法集资刑事案件适用法律若干问题的意见》【公通字（2014）16号】第七条关于涉及民事案件的处理问题规定了，对于事实重合型案件，在处理民事案件过程中发现犯罪嫌疑的，如尚未立案的，人民法院应当不予受理，并进行移送。已经立案的，则应当裁定驳回起诉或者中止执行，并进行移送。</w:t>
      </w:r>
    </w:p>
    <w:p w14:paraId="4BA17012">
      <w:pPr>
        <w:ind w:firstLine="560"/>
        <w:rPr>
          <w:rFonts w:hint="default" w:ascii="仿宋" w:hAnsi="仿宋" w:eastAsia="仿宋" w:cs="仿宋"/>
          <w:sz w:val="28"/>
          <w:szCs w:val="28"/>
          <w:highlight w:val="red"/>
          <w:lang w:val="en-US" w:eastAsia="zh-CN"/>
        </w:rPr>
      </w:pPr>
      <w:r>
        <w:rPr>
          <w:rFonts w:hint="eastAsia" w:ascii="仿宋" w:hAnsi="仿宋" w:eastAsia="仿宋" w:cs="仿宋"/>
          <w:sz w:val="28"/>
          <w:szCs w:val="28"/>
          <w:lang w:val="en-US" w:eastAsia="zh-CN"/>
        </w:rPr>
        <w:t>3.2019年11月8日，最高人民法院颁布的《全国法院民商事审判工作会议纪要》</w:t>
      </w:r>
      <w:r>
        <w:rPr>
          <w:rStyle w:val="8"/>
          <w:rFonts w:hint="eastAsia" w:ascii="仿宋" w:hAnsi="仿宋" w:eastAsia="仿宋" w:cs="仿宋"/>
          <w:sz w:val="28"/>
          <w:szCs w:val="28"/>
          <w:lang w:val="en-US" w:eastAsia="zh-CN"/>
        </w:rPr>
        <w:endnoteReference w:id="5"/>
      </w:r>
      <w:r>
        <w:rPr>
          <w:rFonts w:hint="eastAsia" w:ascii="仿宋" w:hAnsi="仿宋" w:eastAsia="仿宋" w:cs="仿宋"/>
          <w:sz w:val="28"/>
          <w:szCs w:val="28"/>
          <w:lang w:val="en-US" w:eastAsia="zh-CN"/>
        </w:rPr>
        <w:t>，在“民刑交叉案件的程序处理”第128条和第130条规定中，对于刑民交叉案件的处理程序作了区别规定，即对于民商事案件必须以相关刑事案件的审理结果为依据的情形，重申了刑事优先原则。但对于民商事案件不是必须以相关的刑事案件的审理结果为依据情形，则强调民商事案件应当继续审理。不能以涉及刑事案件为由，中止审理或者驳回起诉。</w:t>
      </w:r>
    </w:p>
    <w:p w14:paraId="089C8E5C">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4.2023年修正的《中华人民共和国民事诉讼法》第一百五十三条规定：“有下列情形之一的，中止诉讼：（五）本案必须以另一案的审理结果为依据，而另一案尚未审结的。”</w:t>
      </w:r>
    </w:p>
    <w:p w14:paraId="175CF362">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而零星与知识产权刑民交叉程序相关的规定有：</w:t>
      </w:r>
    </w:p>
    <w:p w14:paraId="039B7934">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1.2020年施行的《最高人民法院关于审理侵犯商业秘密民事案件适用法律若干问题的规定》【法释（2020）7号】第二十五条规定：“当事人以涉及同</w:t>
      </w:r>
      <w:bookmarkStart w:id="0" w:name="_GoBack"/>
      <w:bookmarkEnd w:id="0"/>
      <w:r>
        <w:rPr>
          <w:rFonts w:hint="eastAsia" w:ascii="仿宋" w:hAnsi="仿宋" w:eastAsia="仿宋" w:cs="仿宋"/>
          <w:sz w:val="28"/>
          <w:szCs w:val="28"/>
          <w:lang w:val="en-US" w:eastAsia="zh-CN"/>
        </w:rPr>
        <w:t>一被诉侵犯商业秘密行为的刑事案件尚未审结为由，请求中止审理侵犯商业秘密民事案件，人民法院在听取当事人意见后认为必须以该刑事案件的审理结果为依据的，应予支持。”</w:t>
      </w:r>
    </w:p>
    <w:p w14:paraId="72BCF284">
      <w:pPr>
        <w:ind w:firstLine="560" w:firstLineChars="200"/>
        <w:rPr>
          <w:rFonts w:hint="eastAsia" w:ascii="仿宋" w:hAnsi="仿宋" w:eastAsia="仿宋" w:cs="仿宋"/>
          <w:b/>
          <w:bCs/>
          <w:sz w:val="28"/>
          <w:szCs w:val="28"/>
          <w:lang w:val="en-US" w:eastAsia="zh-CN"/>
        </w:rPr>
      </w:pPr>
      <w:r>
        <w:rPr>
          <w:rFonts w:hint="eastAsia" w:ascii="仿宋" w:hAnsi="仿宋" w:eastAsia="仿宋" w:cs="仿宋"/>
          <w:sz w:val="28"/>
          <w:szCs w:val="28"/>
          <w:lang w:val="en-US" w:eastAsia="zh-CN"/>
        </w:rPr>
        <w:t>2.2007年最高人民法院《关于全面加强知识产权审判工作为建设创新型国家提供司法保障的意见》第 7 条规定：“民事案件审理中发现犯罪嫌疑线索，符合刑事自诉条件的，应当告知权利人可以同时提起刑事自诉；依法应当提起公诉的，应及时将涉嫌犯罪内容移送公安机关侦查处理，移送后不影响民事案件审理的，民事案件可以继续审理。”</w:t>
      </w:r>
    </w:p>
    <w:p w14:paraId="4EE68AE2">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以上法律和司法文件仅有《最高人民法院关于审理侵犯商业秘密民事案件适用法律若干问题的规定》和《关于全面加强知识产权审判工作为建设创新型国家提供司法保障的意见》可以归入知识产权司法解释文件之中，其他均为关于一般民商事案件涉刑民交叉时的处理程序。但是上述二个文件，前者仅是针对商业秘密所作的规定，后者规定的并不明确，因此，我国对于知识产权刑民交叉案件的规定还没有明确统一的法律规定或者司法解释类文件。</w:t>
      </w:r>
    </w:p>
    <w:p w14:paraId="379473D3">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上述规定从总体上来说，可以归结为事实重合型刑民交叉案件的处理方式，以先刑后民为处理原则，刑民并举等原则为辅。而目前我国知识产权刑民交叉案件的处理方式，在司法实践中，主要也是引用或参考上述规定，以先刑后民为主要的处理原则。</w:t>
      </w:r>
    </w:p>
    <w:p w14:paraId="19D3486B">
      <w:pPr>
        <w:ind w:firstLine="562" w:firstLineChars="200"/>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二、知识产权刑民交叉案件理论争议和司法实践</w:t>
      </w:r>
    </w:p>
    <w:p w14:paraId="05D6CF0E">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虽然根据上述法律规定和司法文件的精神，先刑后民是目前司法实践中较为主流的处理方式。但无论是理论上，还是司法实践中，一直存在着多种处理方式，且对不应适用先刑后民原则提出了很多的见解。总得来说，主要有以下三种不同的主张：</w:t>
      </w:r>
    </w:p>
    <w:p w14:paraId="1CE49556">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主张适用先刑后民原则。该观点认为，刑事优先，有如上述法律、司法解释等的规定，有着长期的司法实践传统，是处理民刑交叉案件的基本原则。而且，对于知识产权刑民交叉案件，由于刑事侦查能力要远远强于民事调查，刑事案件对于证据的认定标准也要高于民事案件，刑事案件认定的事实可作为民事案件审判的依据，反之，则不然。因此，还是在程序上应当坚持刑事优先，先刑后原则。</w:t>
      </w:r>
    </w:p>
    <w:p w14:paraId="589FE7A7">
      <w:pPr>
        <w:ind w:firstLine="560" w:firstLineChars="200"/>
        <w:rPr>
          <w:rFonts w:hint="eastAsia" w:ascii="仿宋" w:hAnsi="仿宋" w:eastAsia="仿宋" w:cs="仿宋"/>
          <w:color w:val="0000FF"/>
          <w:sz w:val="28"/>
          <w:szCs w:val="28"/>
          <w:lang w:val="en-US" w:eastAsia="zh-CN"/>
        </w:rPr>
      </w:pPr>
      <w:r>
        <w:rPr>
          <w:rFonts w:hint="eastAsia" w:ascii="仿宋" w:hAnsi="仿宋" w:eastAsia="仿宋" w:cs="仿宋"/>
          <w:sz w:val="28"/>
          <w:szCs w:val="28"/>
          <w:lang w:val="en-US" w:eastAsia="zh-CN"/>
        </w:rPr>
        <w:t>如：（1）华东政法大学经济法学院马雪萍即认为：关于商业秘密这种民刑交叉案件的处理，我国诉讼法中并无确切明文规定，法院主要参照经济民刑交叉犯罪案件的处理规定，遵循“先刑后民”的原则</w:t>
      </w:r>
      <w:r>
        <w:rPr>
          <w:rStyle w:val="8"/>
          <w:rFonts w:hint="eastAsia" w:ascii="仿宋" w:hAnsi="仿宋" w:eastAsia="仿宋" w:cs="仿宋"/>
          <w:sz w:val="28"/>
          <w:szCs w:val="28"/>
          <w:lang w:val="en-US" w:eastAsia="zh-CN"/>
        </w:rPr>
        <w:endnoteReference w:id="6"/>
      </w:r>
      <w:r>
        <w:rPr>
          <w:rFonts w:hint="eastAsia" w:ascii="仿宋" w:hAnsi="仿宋" w:eastAsia="仿宋" w:cs="仿宋"/>
          <w:sz w:val="28"/>
          <w:szCs w:val="28"/>
          <w:lang w:val="en-US" w:eastAsia="zh-CN"/>
        </w:rPr>
        <w:t>。（2）上海交通大学凯原法学院黄亮指出：对于民刑交叉案件的处理，由于受到“刑事保护优先论”的影响，无论是附带民事诉讼，还是刑民各自单独诉讼，都应遵循“先刑后民”的处理原则，即在发生刑民交叉案件诉讼时，优先处理刑事部分，刑事问题处理终结后，再行处理民事部分</w:t>
      </w:r>
      <w:r>
        <w:rPr>
          <w:rStyle w:val="8"/>
          <w:rFonts w:hint="eastAsia" w:ascii="仿宋" w:hAnsi="仿宋" w:eastAsia="仿宋" w:cs="仿宋"/>
          <w:sz w:val="28"/>
          <w:szCs w:val="28"/>
          <w:lang w:val="en-US" w:eastAsia="zh-CN"/>
        </w:rPr>
        <w:endnoteReference w:id="7"/>
      </w:r>
      <w:r>
        <w:rPr>
          <w:rFonts w:hint="eastAsia" w:ascii="仿宋" w:hAnsi="仿宋" w:eastAsia="仿宋" w:cs="仿宋"/>
          <w:sz w:val="28"/>
          <w:szCs w:val="28"/>
          <w:lang w:val="en-US" w:eastAsia="zh-CN"/>
        </w:rPr>
        <w:t>。（3）温州市人民检察院张素蓉同样认为：对于当前的分离诉讼模式来说，在实际开展过程中，存在“先民后刑”的排序方式，并且由于当前的民刑并行存在较大的冲突几率，因此应结合实际选择先刑后民的方式，将不利因素降到最低，以满足当前的需求</w:t>
      </w:r>
      <w:r>
        <w:rPr>
          <w:rStyle w:val="8"/>
          <w:rFonts w:hint="eastAsia" w:ascii="仿宋" w:hAnsi="仿宋" w:eastAsia="仿宋" w:cs="仿宋"/>
          <w:sz w:val="28"/>
          <w:szCs w:val="28"/>
          <w:lang w:val="en-US" w:eastAsia="zh-CN"/>
        </w:rPr>
        <w:endnoteReference w:id="8"/>
      </w:r>
      <w:r>
        <w:rPr>
          <w:rFonts w:hint="eastAsia" w:ascii="仿宋" w:hAnsi="仿宋" w:eastAsia="仿宋" w:cs="仿宋"/>
          <w:sz w:val="28"/>
          <w:szCs w:val="28"/>
          <w:lang w:val="en-US" w:eastAsia="zh-CN"/>
        </w:rPr>
        <w:t>。（4）中国政法大学民商经济法学院杨秀清教授、乔莉娜硕士研究生等知识产权诉讼特别程序研究课题组认为：从一般情况来看，民刑交叉案件通常采取“先刑后民”的审理顺序</w:t>
      </w:r>
      <w:r>
        <w:rPr>
          <w:rStyle w:val="8"/>
          <w:rFonts w:hint="eastAsia" w:ascii="仿宋" w:hAnsi="仿宋" w:eastAsia="仿宋" w:cs="仿宋"/>
          <w:sz w:val="28"/>
          <w:szCs w:val="28"/>
          <w:lang w:val="en-US" w:eastAsia="zh-CN"/>
        </w:rPr>
        <w:endnoteReference w:id="9"/>
      </w:r>
      <w:r>
        <w:rPr>
          <w:rFonts w:hint="eastAsia" w:ascii="仿宋" w:hAnsi="仿宋" w:eastAsia="仿宋" w:cs="仿宋"/>
          <w:sz w:val="28"/>
          <w:szCs w:val="28"/>
          <w:lang w:val="en-US" w:eastAsia="zh-CN"/>
        </w:rPr>
        <w:t>。（5）江苏省高级人民法院原资深法官、全国审判业务专家宋健认为：长期以来，“先刑后民”是商业秘密司法保护的常态，即商业秘密权利人通常在侵犯商业秘密罪刑事案件审结后，再向法院提起侵害商业秘密民事赔偿诉讼，请求法院判令被告承担民事赔偿责任</w:t>
      </w:r>
      <w:r>
        <w:rPr>
          <w:rStyle w:val="8"/>
          <w:rFonts w:hint="eastAsia" w:ascii="仿宋" w:hAnsi="仿宋" w:eastAsia="仿宋" w:cs="仿宋"/>
          <w:sz w:val="28"/>
          <w:szCs w:val="28"/>
          <w:lang w:val="en-US" w:eastAsia="zh-CN"/>
        </w:rPr>
        <w:endnoteReference w:id="10"/>
      </w:r>
      <w:r>
        <w:rPr>
          <w:rFonts w:hint="eastAsia" w:ascii="仿宋" w:hAnsi="仿宋" w:eastAsia="仿宋" w:cs="仿宋"/>
          <w:sz w:val="28"/>
          <w:szCs w:val="28"/>
          <w:lang w:val="en-US" w:eastAsia="zh-CN"/>
        </w:rPr>
        <w:t>。（6）在美的公司与林某等侵害商标权纠纷案中，审理民事案件的法院即以林某等人犯假冒注册商标罪的刑事案件尚未结案，而本案需以该刑事案件的审理结果作依据为由，裁定民事案件中止诉讼。此后，在该刑事案件的判决结果生效后，法院才恢复对民事案件的审理</w:t>
      </w:r>
      <w:r>
        <w:rPr>
          <w:rStyle w:val="8"/>
          <w:rFonts w:hint="eastAsia" w:ascii="仿宋" w:hAnsi="仿宋" w:eastAsia="仿宋" w:cs="仿宋"/>
          <w:sz w:val="28"/>
          <w:szCs w:val="28"/>
          <w:lang w:val="en-US" w:eastAsia="zh-CN"/>
        </w:rPr>
        <w:endnoteReference w:id="11"/>
      </w:r>
      <w:r>
        <w:rPr>
          <w:rFonts w:hint="eastAsia" w:ascii="仿宋" w:hAnsi="仿宋" w:eastAsia="仿宋" w:cs="仿宋"/>
          <w:sz w:val="28"/>
          <w:szCs w:val="28"/>
          <w:lang w:val="en-US" w:eastAsia="zh-CN"/>
        </w:rPr>
        <w:t>。（7）最高人民法院2020年11月24日判决的“卡波案”就是“先刑后民”的典型案例。该案刑事判决认定朱某等人存在侵害两天赐公司技术秘密后，民事案件据此判决被告方构成侵害商业秘密，并判令被告方赔偿经济损失和合理开支3000多万元</w:t>
      </w:r>
      <w:r>
        <w:rPr>
          <w:rStyle w:val="8"/>
          <w:rFonts w:hint="eastAsia" w:ascii="仿宋" w:hAnsi="仿宋" w:eastAsia="仿宋" w:cs="仿宋"/>
          <w:sz w:val="28"/>
          <w:szCs w:val="28"/>
          <w:lang w:val="en-US" w:eastAsia="zh-CN"/>
        </w:rPr>
        <w:endnoteReference w:id="12"/>
      </w:r>
      <w:r>
        <w:rPr>
          <w:rFonts w:hint="eastAsia" w:ascii="仿宋" w:hAnsi="仿宋" w:eastAsia="仿宋" w:cs="仿宋"/>
          <w:sz w:val="28"/>
          <w:szCs w:val="28"/>
          <w:lang w:val="en-US" w:eastAsia="zh-CN"/>
        </w:rPr>
        <w:t>。</w:t>
      </w:r>
    </w:p>
    <w:p w14:paraId="67C1769B">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2.主张适用先民后刑原则。该观点主要认为审理知识产权民事案件的法官更加专业，且经常是中级法院，审级也更高，更有利于解决纠纷和查清案件事实。因此，主张在处理程序上，民事程序优先。</w:t>
      </w:r>
    </w:p>
    <w:p w14:paraId="029C5498">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如：（1）江苏大学法学院胡良荣即认为：侵犯商业秘密案件出现刑民交叉情形时，不能机械适用“先刑后民”的原则，而是应该确立“重民轻刑”、“先民后刑”的司法理念，由具备专业司法能力的知识产权业务庭先就侵权与否作出判定，然后在刑事程序中，以此为根据结合是否构成侵权以及侵权造成的损失大小对刑事责任作出准确的判断，从而减少不必要的程序，实现诉讼效益最大化</w:t>
      </w:r>
      <w:r>
        <w:rPr>
          <w:rStyle w:val="8"/>
          <w:rFonts w:hint="eastAsia" w:ascii="仿宋" w:hAnsi="仿宋" w:eastAsia="仿宋" w:cs="仿宋"/>
          <w:sz w:val="28"/>
          <w:szCs w:val="28"/>
          <w:lang w:val="en-US" w:eastAsia="zh-CN"/>
        </w:rPr>
        <w:endnoteReference w:id="13"/>
      </w:r>
      <w:r>
        <w:rPr>
          <w:rFonts w:hint="eastAsia" w:ascii="仿宋" w:hAnsi="仿宋" w:eastAsia="仿宋" w:cs="仿宋"/>
          <w:sz w:val="28"/>
          <w:szCs w:val="28"/>
          <w:lang w:val="en-US" w:eastAsia="zh-CN"/>
        </w:rPr>
        <w:t>。（2）广东外语外贸大学法学院魏远山和重庆理工大学知识产权学院朱蕾认为：在司法实践中，随着社会平等价值观念的加强，民刑交叉案件的处理并不完全遵循“先刑后民”原则，在知识产权案件中适用“先民后刑”的呼声日渐高涨</w:t>
      </w:r>
      <w:r>
        <w:rPr>
          <w:rStyle w:val="8"/>
          <w:rFonts w:hint="eastAsia" w:ascii="仿宋" w:hAnsi="仿宋" w:eastAsia="仿宋" w:cs="仿宋"/>
          <w:sz w:val="28"/>
          <w:szCs w:val="28"/>
          <w:lang w:val="en-US" w:eastAsia="zh-CN"/>
        </w:rPr>
        <w:endnoteReference w:id="14"/>
      </w:r>
      <w:r>
        <w:rPr>
          <w:rFonts w:hint="eastAsia" w:ascii="仿宋" w:hAnsi="仿宋" w:eastAsia="仿宋" w:cs="仿宋"/>
          <w:sz w:val="28"/>
          <w:szCs w:val="28"/>
          <w:lang w:val="en-US" w:eastAsia="zh-CN"/>
        </w:rPr>
        <w:t>。（3）中南财经政法大学黄心蕊认为：刑民交叉案件往往很难取得对方侵权的证据，而刑事立案的标准又较为严格，除需要证明拥有某项专利外，还需证明该项权利被他人侵犯，并已经达到了追诉标准，这种立案标准对权利人来说确实非常困难，然而民事案件的立案标准却要宽松许多，在侵犯商业秘密的案件中尤为如此。在实践中，有的权利人会先提起民事诉讼，借助法院通过民事诉讼来固定相关证据，待证据达到刑事立案标准后，再向公安机关报案。这就是知识产权案件一般采用先民后刑的处理原则</w:t>
      </w:r>
      <w:r>
        <w:rPr>
          <w:rStyle w:val="8"/>
          <w:rFonts w:hint="eastAsia" w:ascii="仿宋" w:hAnsi="仿宋" w:eastAsia="仿宋" w:cs="仿宋"/>
          <w:sz w:val="28"/>
          <w:szCs w:val="28"/>
          <w:lang w:val="en-US" w:eastAsia="zh-CN"/>
        </w:rPr>
        <w:endnoteReference w:id="15"/>
      </w:r>
      <w:r>
        <w:rPr>
          <w:rFonts w:hint="eastAsia" w:ascii="仿宋" w:hAnsi="仿宋" w:eastAsia="仿宋" w:cs="仿宋"/>
          <w:sz w:val="28"/>
          <w:szCs w:val="28"/>
          <w:lang w:val="en-US" w:eastAsia="zh-CN"/>
        </w:rPr>
        <w:t>。（4）华南理工大学黄娟认为：在知识产权民刑交叉案件的处理上，我们需要重新认识民事程序的价值意义和功能意义，在此基础上对刑民两种司法程序进行合理衔接与协调，建立民、刑分庭审理意义上的“先民后刑”以及民、刑合庭审理意义上的“先民后刑”审理机制</w:t>
      </w:r>
      <w:r>
        <w:rPr>
          <w:rStyle w:val="8"/>
          <w:rFonts w:hint="eastAsia" w:ascii="仿宋" w:hAnsi="仿宋" w:eastAsia="仿宋" w:cs="仿宋"/>
          <w:sz w:val="28"/>
          <w:szCs w:val="28"/>
          <w:lang w:val="en-US" w:eastAsia="zh-CN"/>
        </w:rPr>
        <w:endnoteReference w:id="16"/>
      </w:r>
      <w:r>
        <w:rPr>
          <w:rFonts w:hint="eastAsia" w:ascii="仿宋" w:hAnsi="仿宋" w:eastAsia="仿宋" w:cs="仿宋"/>
          <w:sz w:val="28"/>
          <w:szCs w:val="28"/>
          <w:lang w:val="en-US" w:eastAsia="zh-CN"/>
        </w:rPr>
        <w:t>。（5）上海交通大学凯原法学院黄亮认为：基于商业秘密的私权属性，世界各国都优先采用民事法律对其进行保护</w:t>
      </w:r>
      <w:r>
        <w:rPr>
          <w:rStyle w:val="8"/>
          <w:rFonts w:hint="eastAsia" w:ascii="仿宋" w:hAnsi="仿宋" w:eastAsia="仿宋" w:cs="仿宋"/>
          <w:sz w:val="28"/>
          <w:szCs w:val="28"/>
          <w:lang w:val="en-US" w:eastAsia="zh-CN"/>
        </w:rPr>
        <w:endnoteReference w:id="17"/>
      </w:r>
      <w:r>
        <w:rPr>
          <w:rFonts w:hint="eastAsia" w:ascii="仿宋" w:hAnsi="仿宋" w:eastAsia="仿宋" w:cs="仿宋"/>
          <w:sz w:val="28"/>
          <w:szCs w:val="28"/>
          <w:lang w:val="en-US" w:eastAsia="zh-CN"/>
        </w:rPr>
        <w:t>。（6）最高人民法院在2021年2月29日判决的“香兰素案”中，二审不仅改判被诉侵权人赔偿商业秘密权利人经济损失及合理维权费用1.59亿元，而且还就“先民后刑”给出明确指引：“本案被诉侵权行为已涉嫌侵犯商业秘密犯罪，本院将依法将相关线索移送公安机关处理</w:t>
      </w:r>
      <w:r>
        <w:rPr>
          <w:rStyle w:val="8"/>
          <w:rFonts w:hint="eastAsia" w:ascii="仿宋" w:hAnsi="仿宋" w:eastAsia="仿宋" w:cs="仿宋"/>
          <w:sz w:val="28"/>
          <w:szCs w:val="28"/>
          <w:lang w:val="en-US" w:eastAsia="zh-CN"/>
        </w:rPr>
        <w:endnoteReference w:id="18"/>
      </w:r>
      <w:r>
        <w:rPr>
          <w:rFonts w:hint="eastAsia" w:ascii="仿宋" w:hAnsi="仿宋" w:eastAsia="仿宋" w:cs="仿宋"/>
          <w:sz w:val="28"/>
          <w:szCs w:val="28"/>
          <w:lang w:val="en-US" w:eastAsia="zh-CN"/>
        </w:rPr>
        <w:t>。”（7）2023年判决的被告人郑某挪用公款罪一案</w:t>
      </w:r>
      <w:r>
        <w:rPr>
          <w:rStyle w:val="8"/>
          <w:rFonts w:hint="eastAsia" w:ascii="仿宋" w:hAnsi="仿宋" w:eastAsia="仿宋" w:cs="仿宋"/>
          <w:sz w:val="28"/>
          <w:szCs w:val="28"/>
          <w:lang w:val="en-US" w:eastAsia="zh-CN"/>
        </w:rPr>
        <w:endnoteReference w:id="19"/>
      </w:r>
      <w:r>
        <w:rPr>
          <w:rFonts w:hint="eastAsia" w:ascii="仿宋" w:hAnsi="仿宋" w:eastAsia="仿宋" w:cs="仿宋"/>
          <w:sz w:val="28"/>
          <w:szCs w:val="28"/>
          <w:highlight w:val="none"/>
          <w:lang w:val="en-US" w:eastAsia="zh-CN"/>
        </w:rPr>
        <w:t>，</w:t>
      </w:r>
      <w:r>
        <w:rPr>
          <w:rFonts w:hint="eastAsia" w:ascii="仿宋" w:hAnsi="仿宋" w:eastAsia="仿宋" w:cs="仿宋"/>
          <w:sz w:val="28"/>
          <w:szCs w:val="28"/>
          <w:lang w:val="en-US" w:eastAsia="zh-CN"/>
        </w:rPr>
        <w:t>杭州中院曾判决郑某挪用公款罪成立。但后因民事案件确认郑某为涉案教材的著作权人之一。故杭州中院再审，判决郑某无罪。该案充分体现了知识产权刑民交叉案件中，先民后刑原则的适用。即先在民事案件中就知识产权权属进行判断是处理刑民交叉案件处理的前提，具有关键性的作用。尤其是刑事案件审理中存在知识产权权属争议情形时，应当适用“先民后刑”模式，防止刑事错案的发生。</w:t>
      </w:r>
    </w:p>
    <w:p w14:paraId="1CD04BFF">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3.主张适用刑民并举原则。该观点认为，无论是优先适用刑事程序，还是优先适用民事程序，都存在不当牺牲另一种程序的嫌疑，导致不当的延长了案件的处理程序，发挥不了制度的优势。</w:t>
      </w:r>
    </w:p>
    <w:p w14:paraId="041E23E0">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lang w:val="en-US" w:eastAsia="zh-CN"/>
        </w:rPr>
        <w:t>如：（1）广东外语外贸大学法学院魏远山和重庆理工大学知识产权学院朱蕾指出：对不是必须以相应民事或刑事判决为依据的案件，通常不会相互牵连，民刑程序独立。与其在单一模式中寻求一条不存在的完美处理商业秘密民刑交叉案件的规则，不如走一条折中路线，综合刑事和民事诉讼的优势，实行“民刑并举”模式，真正发挥知识产权“三审合一”审判集中化、专业化的制度优势</w:t>
      </w:r>
      <w:r>
        <w:rPr>
          <w:rStyle w:val="8"/>
          <w:rFonts w:hint="eastAsia" w:ascii="仿宋" w:hAnsi="仿宋" w:eastAsia="仿宋" w:cs="仿宋"/>
          <w:sz w:val="28"/>
          <w:szCs w:val="28"/>
          <w:lang w:val="en-US" w:eastAsia="zh-CN"/>
        </w:rPr>
        <w:endnoteReference w:id="20"/>
      </w:r>
      <w:r>
        <w:rPr>
          <w:rFonts w:hint="eastAsia" w:ascii="仿宋" w:hAnsi="仿宋" w:eastAsia="仿宋" w:cs="仿宋"/>
          <w:sz w:val="28"/>
          <w:szCs w:val="28"/>
          <w:lang w:val="en-US" w:eastAsia="zh-CN"/>
        </w:rPr>
        <w:t>。（2）湖南商学院廉政法治研究所贺志军认为：办案程序的优先与否，应当与取证能力、证明标准、诉讼期限等因素或要求有更直接的关联；就可能情形看，有刑事程序在先和民事程序在先的情形，只要法律上没有“另有规定”，那么就理应遵循“刑民并行”原则即“分开诉讼，同步进行”，而不宜不顾具体情况僵化地规定谁先谁后</w:t>
      </w:r>
      <w:r>
        <w:rPr>
          <w:rStyle w:val="8"/>
          <w:rFonts w:hint="eastAsia" w:ascii="仿宋" w:hAnsi="仿宋" w:eastAsia="仿宋" w:cs="仿宋"/>
          <w:sz w:val="28"/>
          <w:szCs w:val="28"/>
          <w:lang w:val="en-US" w:eastAsia="zh-CN"/>
        </w:rPr>
        <w:endnoteReference w:id="21"/>
      </w:r>
      <w:r>
        <w:rPr>
          <w:rFonts w:hint="eastAsia" w:ascii="仿宋" w:hAnsi="仿宋" w:eastAsia="仿宋" w:cs="仿宋"/>
          <w:sz w:val="28"/>
          <w:szCs w:val="28"/>
          <w:lang w:val="en-US" w:eastAsia="zh-CN"/>
        </w:rPr>
        <w:t>。（3）江苏省南京市中级人民法院课题组认为：从本质上看，知识产权民刑交叉案件并不是非刑即民或非民即刑的单一案件，而是民刑交糅、民刑叠加的复合性案件，所以无论是“先刑后民”刑事程序绝对优先论，还是“先民后刑”知识产权民事优先特殊论，在化解知识产权民刑交叉案件两种诉讼程序之间的紧张关系方面都缺乏必要的制度张力，最终可能导致民刑交叉案件得不到正确处理</w:t>
      </w:r>
      <w:r>
        <w:rPr>
          <w:rStyle w:val="8"/>
          <w:rFonts w:hint="eastAsia" w:ascii="仿宋" w:hAnsi="仿宋" w:eastAsia="仿宋" w:cs="仿宋"/>
          <w:sz w:val="28"/>
          <w:szCs w:val="28"/>
          <w:lang w:val="en-US" w:eastAsia="zh-CN"/>
        </w:rPr>
        <w:endnoteReference w:id="22"/>
      </w:r>
      <w:r>
        <w:rPr>
          <w:rFonts w:hint="eastAsia" w:ascii="仿宋" w:hAnsi="仿宋" w:eastAsia="仿宋" w:cs="仿宋"/>
          <w:sz w:val="28"/>
          <w:szCs w:val="28"/>
          <w:lang w:val="en-US" w:eastAsia="zh-CN"/>
        </w:rPr>
        <w:t>。（4）在佛山市南海区桂城景兴商务拓展有限公司与余某等侵害商标权纠纷案件</w:t>
      </w:r>
      <w:r>
        <w:rPr>
          <w:rStyle w:val="8"/>
          <w:rFonts w:hint="eastAsia" w:ascii="仿宋" w:hAnsi="仿宋" w:eastAsia="仿宋" w:cs="仿宋"/>
          <w:sz w:val="28"/>
          <w:szCs w:val="28"/>
          <w:lang w:val="en-US" w:eastAsia="zh-CN"/>
        </w:rPr>
        <w:endnoteReference w:id="23"/>
      </w:r>
      <w:r>
        <w:rPr>
          <w:rFonts w:hint="eastAsia" w:ascii="仿宋" w:hAnsi="仿宋" w:eastAsia="仿宋" w:cs="仿宋"/>
          <w:sz w:val="28"/>
          <w:szCs w:val="28"/>
          <w:lang w:val="en-US" w:eastAsia="zh-CN"/>
        </w:rPr>
        <w:t>中，广东省江门市蓬江区人民法院认为，本案的民事案件，虽然与刑事案件有一定的关联，刑事案件虽然也尚未审结，但是，本案并不属于必须以刑事案件的审理结果为依据，所以没有采纳民事案件需中止审理的意见。从而，法院并没有等刑事案件有了判决结果再进行审判，而是直接作出了民事判决。（5）</w:t>
      </w:r>
      <w:r>
        <w:rPr>
          <w:rFonts w:hint="eastAsia" w:ascii="仿宋" w:hAnsi="仿宋" w:eastAsia="仿宋" w:cs="仿宋"/>
          <w:sz w:val="28"/>
          <w:szCs w:val="28"/>
          <w:highlight w:val="none"/>
          <w:lang w:val="en-US" w:eastAsia="zh-CN"/>
        </w:rPr>
        <w:t>最高人民法院审理的宁波必沃纺织机械有限公司与宁波慈星股份有限公司技术秘密许可使用合同纠纷案</w:t>
      </w:r>
      <w:r>
        <w:rPr>
          <w:rStyle w:val="8"/>
          <w:rFonts w:hint="eastAsia" w:ascii="仿宋" w:hAnsi="仿宋" w:eastAsia="仿宋" w:cs="仿宋"/>
          <w:sz w:val="28"/>
          <w:szCs w:val="28"/>
          <w:highlight w:val="none"/>
          <w:lang w:val="en-US" w:eastAsia="zh-CN"/>
        </w:rPr>
        <w:endnoteReference w:id="24"/>
      </w:r>
      <w:r>
        <w:rPr>
          <w:rFonts w:hint="eastAsia" w:ascii="仿宋" w:hAnsi="仿宋" w:eastAsia="仿宋" w:cs="仿宋"/>
          <w:sz w:val="28"/>
          <w:szCs w:val="28"/>
          <w:highlight w:val="none"/>
          <w:lang w:val="en-US" w:eastAsia="zh-CN"/>
        </w:rPr>
        <w:t>中，最高院认为本案当事人二审争议核心在于判断本案所涉法律关系与宁波必沃纺织机械有限公司涉嫌侵犯商业秘密犯罪是否基于同一法律事实。但是，根据本案查明的事实可知，本案双方之间系因履行《采购协议》及其附件《保密协议》产生争议，系因违反合同约定为由所提起的合同之诉，属于经济纠纷案件。而刑事案件，是商业秘密的侵权法律关系。二者所涉法律关系不同，并非基于同一法律事实所产生之法律关系，分别涉及经济纠纷和涉嫌经济犯罪，仅仅是二者所涉案件事实具有重合之处。因此，不应适用先刑后民原则，而应刑事案件和民事案件各自同时进行审理。由此可见，最高人民法院认为知识产权刑民交叉案件，事实虽有重合之处，但法律关系不同时，应适用“刑民并行”原则。</w:t>
      </w:r>
    </w:p>
    <w:p w14:paraId="57CD7773">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从以上知识产权案件涉刑民交叉法律关系的多种处理方式来看，实践中如只采取某一原则，弊端非常明显，争议也非常大，很难形成统一的适用规则。因此，非常有必要构建一种能协调适用各种原则，以适于案件实际的处理规则。</w:t>
      </w:r>
    </w:p>
    <w:p w14:paraId="3F2C564F">
      <w:pPr>
        <w:ind w:firstLine="562" w:firstLineChars="200"/>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三、知识产权刑民交叉案件处理之展望</w:t>
      </w:r>
    </w:p>
    <w:p w14:paraId="03D324CF">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对于知识产权刑民交叉案件法律关系的处理，多年来，一直并存着上述多种处理方式，给司法机关和相关公众造成了很大的困扰。经过司法机关的多年实践和学理上的充分论辩，亟待形成统一的处理原则。</w:t>
      </w:r>
    </w:p>
    <w:p w14:paraId="2A5CA0B9">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不论是“先刑后民”、还是“先民后刑”、抑或“刑民并行”，均存在一定的局限性。正如北京大学法学博士孙那和西安交通大学法学院博士鲍一鸣指出：不得机械化理解知识产权案件办理“先刑后民”、“先民后刑”、“刑民并行”的模式选择问题，应结合个案分析是否满足中止审理的条件，客观评价刑事同民事程序就事实认定和证据收集的关联，厘清知识产权违约行为、侵权行为和犯罪行为的边界和衔接民刑责任</w:t>
      </w:r>
      <w:r>
        <w:rPr>
          <w:rStyle w:val="8"/>
          <w:rFonts w:hint="eastAsia" w:ascii="仿宋" w:hAnsi="仿宋" w:eastAsia="仿宋" w:cs="仿宋"/>
          <w:sz w:val="28"/>
          <w:szCs w:val="28"/>
          <w:lang w:val="en-US" w:eastAsia="zh-CN"/>
        </w:rPr>
        <w:endnoteReference w:id="25"/>
      </w:r>
      <w:r>
        <w:rPr>
          <w:rFonts w:hint="eastAsia" w:ascii="仿宋" w:hAnsi="仿宋" w:eastAsia="仿宋" w:cs="仿宋"/>
          <w:sz w:val="28"/>
          <w:szCs w:val="28"/>
          <w:lang w:val="en-US" w:eastAsia="zh-CN"/>
        </w:rPr>
        <w:t>。也就是，首先根据个案的事实来分析，案件是否必须以另一程序案件的处理结果为依据，如果属于该种情形，则只能适用“先刑后民”，抑或是适用“先民后刑”，先行处理。反之，则没有必要，只能适用某一原则来进行处理。</w:t>
      </w:r>
    </w:p>
    <w:p w14:paraId="679C6DE4">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对此，笔者认为，对于知识产权案件涉刑民交叉法律关系的处理，如遇到民事案件必须以刑事案件的处理结果作为依据情形，当然得优先适用先刑后民原则进行处理，待刑事案件处理完毕后再处理民事案件。对此，应当作狭义理解，如虽然民事案件和刑事案件系基于同一事实，但民事案件的处理，根据原被告双方的举证质证，已可以自行查清相关事实，无需必须等到刑事案件审理完毕，才能认定事实和相关责任的，则不能将之归入此种情形。以免造成民事案件的不当拖延，给权利人的正当维权造成了不必要的迟延。</w:t>
      </w:r>
    </w:p>
    <w:p w14:paraId="62B3B22E">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反之，对于刑事案件必须以知识产权民事权属及知识产权民事侵权认定的结果作为依据之情形，则应当适用先民后刑原则。同理，对此也应作狭义理解，避免侵权人以此为手段，不当的拖延刑事案件的处理，逃避刑事责任。</w:t>
      </w:r>
    </w:p>
    <w:p w14:paraId="6F3AB2E8">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除此以外的情形，完全可以参考适用2020年修正的《最高人民法院关于审理商标民事纠纷案件适用法律若干问题的解释》第十三条的规定：“人民法院依据商标法第六十三条第一款的规定确定侵权人的赔偿责任时，可以根据权利人选择的计算方法计算赔偿数额。”由知识产权权利人自行选择是适用先刑后民，还是先民后刑，抑或刑民并举原则处理刑民交叉案件。</w:t>
      </w:r>
    </w:p>
    <w:p w14:paraId="06EC7641">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笔者的了解，司法实践中，不同的权利人其优先关注的诉求，实际上是大相径庭的。部分权利人更注重对侵权人进行刑事打击，即使刑事打击后，可能导致民事案件难以有效执行，也在所不惜。因为此类权利人更加倾向于以最严厉的刑事处罚来保持对侵权人的威慑力，尽可能的清理市场，保持竞争上的优势。毕竟通常认知中，刑事处罚中的人身自由刑或者刑事犯罪记录，相比民事赔偿，对于侵权人来说，要更加的具有威慑力。</w:t>
      </w:r>
    </w:p>
    <w:p w14:paraId="251CFC65">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而部分权利人则更偏重关注对侵权人民事责任的承担，因为对于该部分权利人来说，民事责任中的经济赔偿对于仅由侵权人承担刑事处罚来说，要更加的经济，也更能弥补侵权人所造成的经济损失。</w:t>
      </w:r>
    </w:p>
    <w:p w14:paraId="4646B78C">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当然，大部分权利人更希望侵权人既承担民事责任，同时也承担刑事处罚的责任。在二者的责任承担方面，如果存在因承担民事责任而减轻刑事处罚责任，或者因承担刑事处罚责任而减轻民事责任的情形，也乐于接受。对于该部分权利人来说，刑事和民事并无明显的偏好，打击力度的大小才是关注的重点。</w:t>
      </w:r>
    </w:p>
    <w:p w14:paraId="1BF214F9">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因此，对于知识产权涉刑民交叉案件，民事案件不是必须以刑事案件的处理结果为依据，或者反之刑事案件的处理结果不是必须以民事案件中的权属认定、侵权认定为依据的情形。司法机关不能越俎代庖的替权利人直接决定是适用先刑后民，还是先民后刑，抑或刑民并举，完全可以尊重权利人程序选择权，以权利人选择适用的程序来决定适用的原则。中国政法大学民商经济法学院副院长、教授杨秀清所带领的知识产权诉讼特别程序研究课题组即认为：甚至在三审合一的背景下，不需要严格区分审理顺序和是否中止诉讼，只要能够达到足以认定事实的标准就可以作出判决</w:t>
      </w:r>
      <w:r>
        <w:rPr>
          <w:rStyle w:val="8"/>
          <w:rFonts w:hint="eastAsia" w:ascii="仿宋" w:hAnsi="仿宋" w:eastAsia="仿宋" w:cs="仿宋"/>
          <w:sz w:val="28"/>
          <w:szCs w:val="28"/>
          <w:lang w:val="en-US" w:eastAsia="zh-CN"/>
        </w:rPr>
        <w:endnoteReference w:id="26"/>
      </w:r>
      <w:r>
        <w:rPr>
          <w:rFonts w:hint="eastAsia" w:ascii="仿宋" w:hAnsi="仿宋" w:eastAsia="仿宋" w:cs="仿宋"/>
          <w:sz w:val="28"/>
          <w:szCs w:val="28"/>
          <w:lang w:val="en-US" w:eastAsia="zh-CN"/>
        </w:rPr>
        <w:t>。</w:t>
      </w:r>
    </w:p>
    <w:p w14:paraId="41D44A9E">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对此，我们惊喜的看到，司法实践中也已出现越来越多根据案件事实或者当事人选择而认定的案例。如最高人民法院在重庆普施康科技发展股份有限公司与周某、广州奥迈医疗科技有限公司、苏州好博医疗器械股份有限公司侵害计算机软件著作权纠纷案中，即已作出类似的认定：对于人民法院受理的侵害计算机软件著作权等侵害知识产权民事纠纷案件，人民法院应当充分听取诉讼当事人的意见，依法审慎审查民事案件的审理是否必须以相关刑事案件的审理结果为依据。权利人提起侵害知识产权民事诉讼且符合法定起诉条件，根据在案证据能够继续审理，不属于必须以相关刑事案件的审理结果为依据的情形，也不属于《最高人民法院关于在审理经济纠纷案件中涉及经济犯罪嫌疑若干问题的规定》第十一条规定的情形的，一般不宜以存在刑事案件为由裁定驳回权利人的起诉</w:t>
      </w:r>
      <w:r>
        <w:rPr>
          <w:rStyle w:val="8"/>
          <w:rFonts w:hint="eastAsia" w:ascii="仿宋" w:hAnsi="仿宋" w:eastAsia="仿宋" w:cs="仿宋"/>
          <w:sz w:val="28"/>
          <w:szCs w:val="28"/>
          <w:lang w:val="en-US" w:eastAsia="zh-CN"/>
        </w:rPr>
        <w:endnoteReference w:id="27"/>
      </w:r>
      <w:r>
        <w:rPr>
          <w:rFonts w:hint="eastAsia" w:ascii="仿宋" w:hAnsi="仿宋" w:eastAsia="仿宋" w:cs="仿宋"/>
          <w:sz w:val="28"/>
          <w:szCs w:val="28"/>
          <w:lang w:val="en-US" w:eastAsia="zh-CN"/>
        </w:rPr>
        <w:t>。</w:t>
      </w:r>
    </w:p>
    <w:p w14:paraId="6CD9386B">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再如广东省深圳市中级人民法院在（2021）粤03民终13936号民事判决中认定：刑事犯罪构成要件与民事侵权认定标准不同，证据规则也存在明显差异，认定民事侵权行为不应简单以刑事文书所记载的犯罪事实为限，而应根据民事案件具体事实和证据进行认定，侵权人承担民事责任的范围和形式也应当与民事程序中所认定的侵权行为相对应。如在案证据显示行为人实施商标侵权行为的范围并不限于《不起诉决定书》所认定的现场缴获的侵权商品范围，其承担侵权责任的范围也不应当限定于《不起诉决定书》所记载的商品货值</w:t>
      </w:r>
      <w:r>
        <w:rPr>
          <w:rStyle w:val="8"/>
          <w:rFonts w:hint="eastAsia" w:ascii="仿宋" w:hAnsi="仿宋" w:eastAsia="仿宋" w:cs="仿宋"/>
          <w:sz w:val="28"/>
          <w:szCs w:val="28"/>
          <w:lang w:val="en-US" w:eastAsia="zh-CN"/>
        </w:rPr>
        <w:endnoteReference w:id="28"/>
      </w:r>
      <w:r>
        <w:rPr>
          <w:rFonts w:hint="eastAsia" w:ascii="仿宋" w:hAnsi="仿宋" w:eastAsia="仿宋" w:cs="仿宋"/>
          <w:sz w:val="28"/>
          <w:szCs w:val="28"/>
          <w:lang w:val="en-US" w:eastAsia="zh-CN"/>
        </w:rPr>
        <w:t>。</w:t>
      </w:r>
    </w:p>
    <w:p w14:paraId="62454EBE">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尤其是，在笔者代理的株式会社多乐可（DORCOCO.,LTD.）与阳江市江城区某商行侵害商标权纠纷案件</w:t>
      </w:r>
      <w:r>
        <w:rPr>
          <w:rStyle w:val="8"/>
          <w:rFonts w:hint="eastAsia" w:ascii="仿宋" w:hAnsi="仿宋" w:eastAsia="仿宋" w:cs="仿宋"/>
          <w:color w:val="auto"/>
          <w:sz w:val="28"/>
          <w:szCs w:val="28"/>
          <w:lang w:val="en-US" w:eastAsia="zh-CN"/>
        </w:rPr>
        <w:endnoteReference w:id="29"/>
      </w:r>
      <w:r>
        <w:rPr>
          <w:rFonts w:hint="eastAsia" w:ascii="仿宋" w:hAnsi="仿宋" w:eastAsia="仿宋" w:cs="仿宋"/>
          <w:sz w:val="28"/>
          <w:szCs w:val="28"/>
          <w:lang w:val="en-US" w:eastAsia="zh-CN"/>
        </w:rPr>
        <w:t>中，法院采纳了权利人仅移送刑事犯罪线索民事案件继续审判的意见，在移送刑事犯罪线索后，作出了民事判决，既追究了侵权人的民事责任，同时追究了侵权人的刑事责任。而且，侵权人为减轻刑事处罚的责任，也主动履行了民事判决所确定的赔偿义务，取得了非常好的维权效果。</w:t>
      </w:r>
    </w:p>
    <w:p w14:paraId="2E6C59A8">
      <w:pPr>
        <w:ind w:firstLine="562" w:firstLineChars="200"/>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四、结语</w:t>
      </w:r>
    </w:p>
    <w:p w14:paraId="61AA2786">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不管是先刑后民，还是先民后刑，抑或刑民并举，实际上都存在着浓浓的司法机关以职权决定的色彩，而知识产权从本质上来说，毕竟还是私权。因此，对于不是明显非此即彼的情形，还是应该从尊重权利人的程序选择权角度，由权利人自行选择适用的原则，更加符合严格保护知识产权、加大保护知识产权力度的原则。</w:t>
      </w:r>
    </w:p>
    <w:sectPr>
      <w:endnotePr>
        <w:numFmt w:val="decimal"/>
      </w:endnote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60">
    <w:p>
      <w:r>
        <w:separator/>
      </w:r>
    </w:p>
  </w:endnote>
  <w:endnote w:type="continuationSeparator" w:id="61">
    <w:p>
      <w:r>
        <w:continuationSeparator/>
      </w:r>
    </w:p>
  </w:endnote>
  <w:endnote w:id="0">
    <w:p w14:paraId="1DCA3B20">
      <w:pPr>
        <w:pStyle w:val="2"/>
        <w:snapToGrid w:val="0"/>
        <w:rPr>
          <w:rFonts w:hint="eastAsia"/>
        </w:rPr>
      </w:pPr>
      <w:r>
        <w:rPr>
          <w:rStyle w:val="8"/>
        </w:rPr>
        <w:endnoteRef/>
      </w:r>
      <w:r>
        <w:t xml:space="preserve"> </w:t>
      </w:r>
      <w:r>
        <w:rPr>
          <w:rFonts w:hint="eastAsia"/>
        </w:rPr>
        <w:t>注释（论文）：陆平：刑民交叉案件中民事责任的承担——评马尼株式会社诉吴某全侵害商标权案，知产财经，2023</w:t>
      </w:r>
      <w:r>
        <w:rPr>
          <w:rFonts w:hint="eastAsia"/>
          <w:lang w:val="en-US" w:eastAsia="zh-CN"/>
        </w:rPr>
        <w:t>年</w:t>
      </w:r>
      <w:r>
        <w:rPr>
          <w:rFonts w:hint="eastAsia"/>
        </w:rPr>
        <w:t>8</w:t>
      </w:r>
      <w:r>
        <w:rPr>
          <w:rFonts w:hint="eastAsia"/>
          <w:lang w:val="en-US" w:eastAsia="zh-CN"/>
        </w:rPr>
        <w:t>月</w:t>
      </w:r>
      <w:r>
        <w:rPr>
          <w:rFonts w:hint="eastAsia"/>
        </w:rPr>
        <w:t>11</w:t>
      </w:r>
      <w:r>
        <w:rPr>
          <w:rFonts w:hint="eastAsia"/>
          <w:lang w:val="en-US" w:eastAsia="zh-CN"/>
        </w:rPr>
        <w:t>日</w:t>
      </w:r>
      <w:r>
        <w:rPr>
          <w:rFonts w:hint="eastAsia"/>
        </w:rPr>
        <w:t>。</w:t>
      </w:r>
    </w:p>
  </w:endnote>
  <w:endnote w:id="1">
    <w:p w14:paraId="26713030">
      <w:pPr>
        <w:pStyle w:val="2"/>
        <w:snapToGrid w:val="0"/>
        <w:rPr>
          <w:rFonts w:hint="eastAsia"/>
          <w:lang w:eastAsia="zh-CN"/>
        </w:rPr>
      </w:pPr>
      <w:r>
        <w:rPr>
          <w:rStyle w:val="8"/>
        </w:rPr>
        <w:endnoteRef/>
      </w:r>
      <w:r>
        <w:t xml:space="preserve"> </w:t>
      </w:r>
      <w:r>
        <w:rPr>
          <w:rFonts w:hint="eastAsia"/>
        </w:rPr>
        <w:t>注释（论文）：孙那</w:t>
      </w:r>
      <w:r>
        <w:rPr>
          <w:rFonts w:hint="eastAsia"/>
          <w:lang w:eastAsia="zh-CN"/>
        </w:rPr>
        <w:t>、</w:t>
      </w:r>
      <w:r>
        <w:rPr>
          <w:rFonts w:hint="eastAsia"/>
        </w:rPr>
        <w:t>鲍一鸣</w:t>
      </w:r>
      <w:r>
        <w:rPr>
          <w:rFonts w:hint="eastAsia"/>
          <w:lang w:eastAsia="zh-CN"/>
        </w:rPr>
        <w:t>：</w:t>
      </w:r>
      <w:r>
        <w:rPr>
          <w:rFonts w:hint="eastAsia"/>
        </w:rPr>
        <w:t>知识产权刑民交叉问题研究</w:t>
      </w:r>
      <w:r>
        <w:rPr>
          <w:rFonts w:hint="eastAsia"/>
          <w:lang w:eastAsia="zh-CN"/>
        </w:rPr>
        <w:t>，</w:t>
      </w:r>
      <w:r>
        <w:rPr>
          <w:rFonts w:hint="eastAsia"/>
        </w:rPr>
        <w:t>《电子知识产权》</w:t>
      </w:r>
      <w:r>
        <w:rPr>
          <w:rFonts w:hint="eastAsia"/>
          <w:lang w:eastAsia="zh-CN"/>
        </w:rPr>
        <w:t>，</w:t>
      </w:r>
      <w:r>
        <w:rPr>
          <w:rFonts w:hint="eastAsia"/>
        </w:rPr>
        <w:t>2023年第10期</w:t>
      </w:r>
      <w:r>
        <w:rPr>
          <w:rFonts w:hint="eastAsia"/>
          <w:lang w:eastAsia="zh-CN"/>
        </w:rPr>
        <w:t>。</w:t>
      </w:r>
    </w:p>
  </w:endnote>
  <w:endnote w:id="2">
    <w:p w14:paraId="5C05795D">
      <w:pPr>
        <w:pStyle w:val="2"/>
        <w:snapToGrid w:val="0"/>
        <w:rPr>
          <w:rFonts w:hint="eastAsia"/>
          <w:lang w:eastAsia="zh-CN"/>
        </w:rPr>
      </w:pPr>
      <w:r>
        <w:rPr>
          <w:rStyle w:val="8"/>
        </w:rPr>
        <w:endnoteRef/>
      </w:r>
      <w:r>
        <w:rPr>
          <w:rFonts w:hint="eastAsia"/>
          <w:lang w:val="en-US" w:eastAsia="zh-CN"/>
        </w:rPr>
        <w:t xml:space="preserve"> </w:t>
      </w:r>
      <w:r>
        <w:rPr>
          <w:rFonts w:hint="eastAsia"/>
        </w:rPr>
        <w:t>注释（论文）：宋健：商业秘密民刑诉讼独立性问题探讨——由“香兰素案”引发的思考</w:t>
      </w:r>
      <w:r>
        <w:rPr>
          <w:rFonts w:hint="eastAsia"/>
          <w:lang w:eastAsia="zh-CN"/>
        </w:rPr>
        <w:t>，</w:t>
      </w:r>
      <w:r>
        <w:rPr>
          <w:rFonts w:hint="eastAsia"/>
        </w:rPr>
        <w:t>《中国专利与商标》</w:t>
      </w:r>
      <w:r>
        <w:rPr>
          <w:rFonts w:hint="eastAsia"/>
          <w:lang w:eastAsia="zh-CN"/>
        </w:rPr>
        <w:t>，</w:t>
      </w:r>
      <w:r>
        <w:rPr>
          <w:rFonts w:hint="eastAsia"/>
        </w:rPr>
        <w:t>2022年第2期</w:t>
      </w:r>
      <w:r>
        <w:rPr>
          <w:rFonts w:hint="eastAsia"/>
          <w:lang w:eastAsia="zh-CN"/>
        </w:rPr>
        <w:t>。</w:t>
      </w:r>
    </w:p>
  </w:endnote>
  <w:endnote w:id="3">
    <w:p w14:paraId="767F1889">
      <w:pPr>
        <w:pStyle w:val="2"/>
        <w:snapToGrid w:val="0"/>
      </w:pPr>
      <w:r>
        <w:rPr>
          <w:rStyle w:val="8"/>
        </w:rPr>
        <w:endnoteRef/>
      </w:r>
      <w:r>
        <w:t xml:space="preserve"> </w:t>
      </w:r>
      <w:r>
        <w:rPr>
          <w:rFonts w:hint="eastAsia"/>
          <w:lang w:val="en-US" w:eastAsia="zh-CN"/>
        </w:rPr>
        <w:t>注释（法律）：</w:t>
      </w:r>
      <w:r>
        <w:rPr>
          <w:rFonts w:hint="eastAsia"/>
        </w:rPr>
        <w:t>最高人民法院关于在审理经济纠纷案件中涉及经济犯罪嫌疑若干问题的规定</w:t>
      </w:r>
      <w:r>
        <w:rPr>
          <w:rFonts w:hint="eastAsia"/>
          <w:lang w:val="en-US" w:eastAsia="zh-CN"/>
        </w:rPr>
        <w:t>于</w:t>
      </w:r>
      <w:r>
        <w:rPr>
          <w:rFonts w:hint="eastAsia"/>
        </w:rPr>
        <w:t>2020年12月23日</w:t>
      </w:r>
      <w:r>
        <w:rPr>
          <w:rFonts w:hint="eastAsia"/>
          <w:lang w:eastAsia="zh-CN"/>
        </w:rPr>
        <w:t>，</w:t>
      </w:r>
      <w:r>
        <w:rPr>
          <w:rFonts w:hint="eastAsia"/>
          <w:lang w:val="en-US" w:eastAsia="zh-CN"/>
        </w:rPr>
        <w:t>被</w:t>
      </w:r>
      <w:r>
        <w:rPr>
          <w:rFonts w:hint="eastAsia"/>
        </w:rPr>
        <w:t>最高人民法院审判委员会第1823次会议通过的《最高人民法院关于修改〈最高人民法院关于在民事审判工作中适用《中华人民共和国工会法》若干问题的解释〉等二十七件民事类司法解释的决定》修正</w:t>
      </w:r>
      <w:r>
        <w:rPr>
          <w:rFonts w:hint="eastAsia"/>
          <w:lang w:eastAsia="zh-CN"/>
        </w:rPr>
        <w:t>。</w:t>
      </w:r>
    </w:p>
  </w:endnote>
  <w:endnote w:id="4">
    <w:p w14:paraId="610021C1">
      <w:pPr>
        <w:pStyle w:val="2"/>
        <w:snapToGrid w:val="0"/>
        <w:rPr>
          <w:rFonts w:hint="eastAsia" w:eastAsiaTheme="minorEastAsia"/>
          <w:lang w:val="en-US" w:eastAsia="zh-CN"/>
        </w:rPr>
      </w:pPr>
      <w:r>
        <w:rPr>
          <w:rStyle w:val="8"/>
        </w:rPr>
        <w:endnoteRef/>
      </w:r>
      <w:r>
        <w:t xml:space="preserve"> </w:t>
      </w:r>
      <w:r>
        <w:rPr>
          <w:rFonts w:hint="eastAsia"/>
        </w:rPr>
        <w:t>注释（</w:t>
      </w:r>
      <w:r>
        <w:rPr>
          <w:rFonts w:hint="eastAsia"/>
          <w:lang w:val="en-US" w:eastAsia="zh-CN"/>
        </w:rPr>
        <w:t>案例</w:t>
      </w:r>
      <w:r>
        <w:rPr>
          <w:rFonts w:hint="eastAsia"/>
        </w:rPr>
        <w:t>）：</w:t>
      </w:r>
      <w:r>
        <w:rPr>
          <w:rFonts w:hint="eastAsia"/>
          <w:lang w:val="en-US" w:eastAsia="zh-CN"/>
        </w:rPr>
        <w:t>转引自</w:t>
      </w:r>
      <w:r>
        <w:rPr>
          <w:rFonts w:hint="eastAsia"/>
          <w:lang w:val="en-US" w:eastAsia="zh-CN"/>
        </w:rPr>
        <w:fldChar w:fldCharType="begin"/>
      </w:r>
      <w:r>
        <w:rPr>
          <w:rFonts w:hint="eastAsia"/>
          <w:lang w:val="en-US" w:eastAsia="zh-CN"/>
        </w:rPr>
        <w:instrText xml:space="preserve"> HYPERLINK "javascript:void(0);" </w:instrText>
      </w:r>
      <w:r>
        <w:rPr>
          <w:rFonts w:hint="eastAsia"/>
          <w:lang w:val="en-US" w:eastAsia="zh-CN"/>
        </w:rPr>
        <w:fldChar w:fldCharType="separate"/>
      </w:r>
      <w:r>
        <w:rPr>
          <w:rFonts w:hint="eastAsia"/>
        </w:rPr>
        <w:t>知产宝</w:t>
      </w:r>
      <w:r>
        <w:rPr>
          <w:rFonts w:hint="eastAsia"/>
          <w:lang w:val="en-US" w:eastAsia="zh-CN"/>
        </w:rPr>
        <w:fldChar w:fldCharType="end"/>
      </w:r>
      <w:r>
        <w:rPr>
          <w:rFonts w:hint="eastAsia"/>
          <w:lang w:val="en-US" w:eastAsia="zh-CN"/>
        </w:rPr>
        <w:t>2024年07月22日文章《刑民交叉 | 知识产权民事侵权与知识产权刑事犯罪案件审判的“容”与“融”》。</w:t>
      </w:r>
    </w:p>
  </w:endnote>
  <w:endnote w:id="5">
    <w:p w14:paraId="1EDC8946">
      <w:pPr>
        <w:pStyle w:val="2"/>
        <w:snapToGrid w:val="0"/>
        <w:rPr>
          <w:rFonts w:hint="eastAsia" w:eastAsiaTheme="minorEastAsia"/>
          <w:lang w:eastAsia="zh-CN"/>
        </w:rPr>
      </w:pPr>
      <w:r>
        <w:rPr>
          <w:rStyle w:val="8"/>
        </w:rPr>
        <w:endnoteRef/>
      </w:r>
      <w:r>
        <w:t xml:space="preserve"> </w:t>
      </w:r>
      <w:r>
        <w:rPr>
          <w:rFonts w:hint="eastAsia"/>
          <w:lang w:val="en-US" w:eastAsia="zh-CN"/>
        </w:rPr>
        <w:t>注释（法律）：</w:t>
      </w:r>
      <w:r>
        <w:rPr>
          <w:rFonts w:hint="eastAsia"/>
        </w:rPr>
        <w:t>即</w:t>
      </w:r>
      <w:r>
        <w:rPr>
          <w:rFonts w:hint="eastAsia"/>
          <w:lang w:val="en-US" w:eastAsia="zh-CN"/>
        </w:rPr>
        <w:t>通称的</w:t>
      </w:r>
      <w:r>
        <w:rPr>
          <w:rFonts w:hint="eastAsia"/>
        </w:rPr>
        <w:t>《九民会议纪要》</w:t>
      </w:r>
      <w:r>
        <w:rPr>
          <w:rFonts w:hint="eastAsia"/>
          <w:lang w:eastAsia="zh-CN"/>
        </w:rPr>
        <w:t>。</w:t>
      </w:r>
    </w:p>
  </w:endnote>
  <w:endnote w:id="6">
    <w:p w14:paraId="51BC99AB">
      <w:pPr>
        <w:pStyle w:val="2"/>
        <w:snapToGrid w:val="0"/>
        <w:rPr>
          <w:rFonts w:hint="eastAsia"/>
          <w:lang w:eastAsia="zh-CN"/>
        </w:rPr>
      </w:pPr>
      <w:r>
        <w:rPr>
          <w:rStyle w:val="8"/>
        </w:rPr>
        <w:endnoteRef/>
      </w:r>
      <w:r>
        <w:t xml:space="preserve"> </w:t>
      </w:r>
      <w:r>
        <w:rPr>
          <w:rFonts w:hint="eastAsia"/>
        </w:rPr>
        <w:t>注释（论文）：马雪萍</w:t>
      </w:r>
      <w:r>
        <w:rPr>
          <w:rFonts w:hint="eastAsia"/>
          <w:lang w:eastAsia="zh-CN"/>
        </w:rPr>
        <w:t>：</w:t>
      </w:r>
      <w:r>
        <w:rPr>
          <w:rFonts w:hint="eastAsia"/>
        </w:rPr>
        <w:t>商业秘密保护的司法实务现状以及相关制度完善的思考</w:t>
      </w:r>
      <w:r>
        <w:rPr>
          <w:rFonts w:hint="eastAsia"/>
          <w:lang w:eastAsia="zh-CN"/>
        </w:rPr>
        <w:t>，</w:t>
      </w:r>
      <w:r>
        <w:rPr>
          <w:rFonts w:hint="eastAsia"/>
        </w:rPr>
        <w:t>《中国经贸》</w:t>
      </w:r>
      <w:r>
        <w:rPr>
          <w:rFonts w:hint="eastAsia"/>
          <w:lang w:eastAsia="zh-CN"/>
        </w:rPr>
        <w:t>，</w:t>
      </w:r>
      <w:r>
        <w:rPr>
          <w:rFonts w:hint="eastAsia"/>
        </w:rPr>
        <w:t>2020年1月</w:t>
      </w:r>
      <w:r>
        <w:rPr>
          <w:rFonts w:hint="eastAsia"/>
          <w:lang w:eastAsia="zh-CN"/>
        </w:rPr>
        <w:t>。</w:t>
      </w:r>
    </w:p>
  </w:endnote>
  <w:endnote w:id="7">
    <w:p w14:paraId="578C6B90">
      <w:pPr>
        <w:pStyle w:val="2"/>
        <w:snapToGrid w:val="0"/>
        <w:rPr>
          <w:rFonts w:hint="eastAsia"/>
          <w:lang w:eastAsia="zh-CN"/>
        </w:rPr>
      </w:pPr>
      <w:r>
        <w:rPr>
          <w:rStyle w:val="8"/>
        </w:rPr>
        <w:endnoteRef/>
      </w:r>
      <w:r>
        <w:t xml:space="preserve"> </w:t>
      </w:r>
      <w:r>
        <w:rPr>
          <w:rFonts w:hint="eastAsia"/>
        </w:rPr>
        <w:t>注释（论文）：黄亮</w:t>
      </w:r>
      <w:r>
        <w:rPr>
          <w:rFonts w:hint="eastAsia"/>
          <w:lang w:eastAsia="zh-CN"/>
        </w:rPr>
        <w:t>：</w:t>
      </w:r>
      <w:r>
        <w:rPr>
          <w:rFonts w:hint="eastAsia"/>
        </w:rPr>
        <w:t>商业秘密刑民交叉案件处理模式的困境及其破解</w:t>
      </w:r>
      <w:r>
        <w:rPr>
          <w:rFonts w:hint="eastAsia"/>
          <w:lang w:eastAsia="zh-CN"/>
        </w:rPr>
        <w:t>，</w:t>
      </w:r>
      <w:r>
        <w:rPr>
          <w:rFonts w:hint="eastAsia"/>
        </w:rPr>
        <w:t>《时代法学》</w:t>
      </w:r>
      <w:r>
        <w:rPr>
          <w:rFonts w:hint="eastAsia"/>
          <w:lang w:eastAsia="zh-CN"/>
        </w:rPr>
        <w:t>，</w:t>
      </w:r>
      <w:r>
        <w:rPr>
          <w:rFonts w:hint="eastAsia"/>
        </w:rPr>
        <w:t>2015年6月第13卷第3期</w:t>
      </w:r>
      <w:r>
        <w:rPr>
          <w:rFonts w:hint="eastAsia"/>
          <w:lang w:eastAsia="zh-CN"/>
        </w:rPr>
        <w:t>。</w:t>
      </w:r>
    </w:p>
  </w:endnote>
  <w:endnote w:id="8">
    <w:p w14:paraId="51ABEEE1">
      <w:pPr>
        <w:pStyle w:val="2"/>
        <w:snapToGrid w:val="0"/>
        <w:rPr>
          <w:rFonts w:hint="eastAsia"/>
          <w:lang w:eastAsia="zh-CN"/>
        </w:rPr>
      </w:pPr>
      <w:r>
        <w:rPr>
          <w:rStyle w:val="8"/>
        </w:rPr>
        <w:endnoteRef/>
      </w:r>
      <w:r>
        <w:t xml:space="preserve"> </w:t>
      </w:r>
      <w:r>
        <w:rPr>
          <w:rFonts w:hint="eastAsia"/>
        </w:rPr>
        <w:t>注释（论文）：张素蓉</w:t>
      </w:r>
      <w:r>
        <w:rPr>
          <w:rFonts w:hint="eastAsia"/>
          <w:lang w:eastAsia="zh-CN"/>
        </w:rPr>
        <w:t>：</w:t>
      </w:r>
      <w:r>
        <w:rPr>
          <w:rFonts w:hint="eastAsia"/>
        </w:rPr>
        <w:t>关于知识产权刑民交叉案件审理问题研究</w:t>
      </w:r>
      <w:r>
        <w:rPr>
          <w:rFonts w:hint="eastAsia"/>
          <w:lang w:eastAsia="zh-CN"/>
        </w:rPr>
        <w:t>，《</w:t>
      </w:r>
      <w:r>
        <w:rPr>
          <w:rFonts w:hint="eastAsia"/>
        </w:rPr>
        <w:t>法制博览</w:t>
      </w:r>
      <w:r>
        <w:rPr>
          <w:rFonts w:hint="eastAsia"/>
          <w:lang w:eastAsia="zh-CN"/>
        </w:rPr>
        <w:t>》，</w:t>
      </w:r>
      <w:r>
        <w:rPr>
          <w:rFonts w:hint="eastAsia"/>
        </w:rPr>
        <w:t>201 9 年5月（上）</w:t>
      </w:r>
      <w:r>
        <w:rPr>
          <w:rFonts w:hint="eastAsia"/>
          <w:lang w:eastAsia="zh-CN"/>
        </w:rPr>
        <w:t>。</w:t>
      </w:r>
    </w:p>
  </w:endnote>
  <w:endnote w:id="9">
    <w:p w14:paraId="361A0800">
      <w:pPr>
        <w:pStyle w:val="2"/>
        <w:snapToGrid w:val="0"/>
        <w:rPr>
          <w:rFonts w:hint="eastAsia" w:eastAsiaTheme="minorEastAsia"/>
          <w:lang w:eastAsia="zh-CN"/>
        </w:rPr>
      </w:pPr>
      <w:r>
        <w:rPr>
          <w:rStyle w:val="8"/>
        </w:rPr>
        <w:endnoteRef/>
      </w:r>
      <w:r>
        <w:t xml:space="preserve"> </w:t>
      </w:r>
      <w:r>
        <w:rPr>
          <w:rFonts w:hint="eastAsia"/>
        </w:rPr>
        <w:t>注释（论文）：中国政法大学民商经济法学院杨秀清</w:t>
      </w:r>
      <w:r>
        <w:rPr>
          <w:rFonts w:hint="eastAsia"/>
          <w:lang w:val="en-US" w:eastAsia="zh-CN"/>
        </w:rPr>
        <w:t>教授</w:t>
      </w:r>
      <w:r>
        <w:rPr>
          <w:rFonts w:hint="eastAsia"/>
          <w:lang w:eastAsia="zh-CN"/>
        </w:rPr>
        <w:t>、乔莉娜硕士研究生</w:t>
      </w:r>
      <w:r>
        <w:rPr>
          <w:rFonts w:hint="eastAsia"/>
          <w:lang w:val="en-US" w:eastAsia="zh-CN"/>
        </w:rPr>
        <w:t>等</w:t>
      </w:r>
      <w:r>
        <w:rPr>
          <w:rFonts w:hint="eastAsia"/>
        </w:rPr>
        <w:t>知识产权诉讼特别程序研究课题组</w:t>
      </w:r>
      <w:r>
        <w:rPr>
          <w:rFonts w:hint="eastAsia"/>
          <w:lang w:eastAsia="zh-CN"/>
        </w:rPr>
        <w:t>：</w:t>
      </w:r>
      <w:r>
        <w:rPr>
          <w:rFonts w:hint="eastAsia"/>
        </w:rPr>
        <w:t>论责任重合下知识产权民刑交叉案件的处理顺序</w:t>
      </w:r>
      <w:r>
        <w:rPr>
          <w:rFonts w:hint="eastAsia"/>
          <w:lang w:eastAsia="zh-CN"/>
        </w:rPr>
        <w:t>，</w:t>
      </w:r>
      <w:r>
        <w:rPr>
          <w:rFonts w:hint="eastAsia"/>
        </w:rPr>
        <w:t>《中国应用法学》</w:t>
      </w:r>
      <w:r>
        <w:rPr>
          <w:rFonts w:hint="eastAsia"/>
          <w:lang w:eastAsia="zh-CN"/>
        </w:rPr>
        <w:t>，</w:t>
      </w:r>
      <w:r>
        <w:rPr>
          <w:rFonts w:hint="eastAsia"/>
        </w:rPr>
        <w:t>2020年第6期</w:t>
      </w:r>
      <w:r>
        <w:rPr>
          <w:rFonts w:hint="eastAsia"/>
          <w:lang w:eastAsia="zh-CN"/>
        </w:rPr>
        <w:t>。</w:t>
      </w:r>
    </w:p>
  </w:endnote>
  <w:endnote w:id="10">
    <w:p w14:paraId="0DA5D155">
      <w:pPr>
        <w:pStyle w:val="2"/>
        <w:snapToGrid w:val="0"/>
        <w:rPr>
          <w:rFonts w:hint="eastAsia"/>
          <w:lang w:val="en-US" w:eastAsia="zh-CN"/>
        </w:rPr>
      </w:pPr>
      <w:r>
        <w:rPr>
          <w:rStyle w:val="8"/>
        </w:rPr>
        <w:endnoteRef/>
      </w:r>
      <w:r>
        <w:t xml:space="preserve"> </w:t>
      </w:r>
      <w:r>
        <w:rPr>
          <w:rFonts w:hint="eastAsia"/>
        </w:rPr>
        <w:t>注释（论文）：</w:t>
      </w:r>
      <w:r>
        <w:rPr>
          <w:rFonts w:hint="eastAsia"/>
          <w:lang w:val="en-US" w:eastAsia="zh-CN"/>
        </w:rPr>
        <w:t>同注释</w:t>
      </w:r>
      <w:r>
        <w:rPr>
          <w:rFonts w:hint="eastAsia"/>
          <w:lang w:val="en-US" w:eastAsia="zh-CN"/>
        </w:rPr>
        <w:fldChar w:fldCharType="begin"/>
      </w:r>
      <w:r>
        <w:rPr>
          <w:rFonts w:hint="eastAsia"/>
          <w:lang w:val="en-US" w:eastAsia="zh-CN"/>
        </w:rPr>
        <w:instrText xml:space="preserve"> = 3 \* roman \* MERGEFORMAT </w:instrText>
      </w:r>
      <w:r>
        <w:rPr>
          <w:rFonts w:hint="eastAsia"/>
          <w:lang w:val="en-US" w:eastAsia="zh-CN"/>
        </w:rPr>
        <w:fldChar w:fldCharType="separate"/>
      </w:r>
      <w:r>
        <w:rPr>
          <w:rFonts w:hint="eastAsia"/>
          <w:lang w:val="en-US" w:eastAsia="zh-CN"/>
        </w:rPr>
        <w:t>3</w:t>
      </w:r>
      <w:r>
        <w:rPr>
          <w:rFonts w:hint="eastAsia"/>
          <w:lang w:val="en-US" w:eastAsia="zh-CN"/>
        </w:rPr>
        <w:fldChar w:fldCharType="end"/>
      </w:r>
      <w:r>
        <w:rPr>
          <w:rFonts w:hint="eastAsia"/>
          <w:lang w:val="en-US" w:eastAsia="zh-CN"/>
        </w:rPr>
        <w:t>。</w:t>
      </w:r>
    </w:p>
  </w:endnote>
  <w:endnote w:id="11">
    <w:p w14:paraId="2F928C6F">
      <w:pPr>
        <w:pStyle w:val="2"/>
        <w:snapToGrid w:val="0"/>
        <w:rPr>
          <w:rFonts w:hint="eastAsia"/>
        </w:rPr>
      </w:pPr>
      <w:r>
        <w:rPr>
          <w:rStyle w:val="8"/>
        </w:rPr>
        <w:endnoteRef/>
      </w:r>
      <w:r>
        <w:t xml:space="preserve"> </w:t>
      </w:r>
      <w:r>
        <w:rPr>
          <w:rFonts w:hint="eastAsia"/>
        </w:rPr>
        <w:t>注释（</w:t>
      </w:r>
      <w:r>
        <w:rPr>
          <w:rFonts w:hint="eastAsia"/>
          <w:lang w:val="en-US" w:eastAsia="zh-CN"/>
        </w:rPr>
        <w:t>案例</w:t>
      </w:r>
      <w:r>
        <w:rPr>
          <w:rFonts w:hint="eastAsia"/>
        </w:rPr>
        <w:t>）：中山市第一人民法院</w:t>
      </w:r>
      <w:r>
        <w:rPr>
          <w:rFonts w:hint="eastAsia"/>
          <w:lang w:eastAsia="zh-CN"/>
        </w:rPr>
        <w:t>：</w:t>
      </w:r>
      <w:r>
        <w:rPr>
          <w:rFonts w:hint="eastAsia"/>
        </w:rPr>
        <w:t>（2017）粤2071民初16215号</w:t>
      </w:r>
      <w:r>
        <w:rPr>
          <w:rFonts w:hint="eastAsia"/>
          <w:lang w:eastAsia="zh-CN"/>
        </w:rPr>
        <w:t>，</w:t>
      </w:r>
      <w:r>
        <w:rPr>
          <w:rFonts w:hint="eastAsia"/>
        </w:rPr>
        <w:t>广东美的生活电器制造有限公司与林某侵害商标权纠纷</w:t>
      </w:r>
      <w:r>
        <w:rPr>
          <w:rFonts w:hint="eastAsia"/>
          <w:lang w:val="en-US" w:eastAsia="zh-CN"/>
        </w:rPr>
        <w:t>案民事判决</w:t>
      </w:r>
      <w:r>
        <w:rPr>
          <w:rFonts w:hint="eastAsia"/>
        </w:rPr>
        <w:t>。</w:t>
      </w:r>
    </w:p>
  </w:endnote>
  <w:endnote w:id="12">
    <w:p w14:paraId="21234560">
      <w:pPr>
        <w:pStyle w:val="2"/>
        <w:snapToGrid w:val="0"/>
        <w:rPr>
          <w:rFonts w:hint="eastAsia"/>
        </w:rPr>
      </w:pPr>
      <w:r>
        <w:rPr>
          <w:rStyle w:val="8"/>
        </w:rPr>
        <w:endnoteRef/>
      </w:r>
      <w:r>
        <w:t xml:space="preserve"> </w:t>
      </w:r>
      <w:r>
        <w:rPr>
          <w:rFonts w:hint="eastAsia"/>
        </w:rPr>
        <w:t>注释（</w:t>
      </w:r>
      <w:r>
        <w:rPr>
          <w:rFonts w:hint="eastAsia"/>
          <w:lang w:val="en-US" w:eastAsia="zh-CN"/>
        </w:rPr>
        <w:t>案例</w:t>
      </w:r>
      <w:r>
        <w:rPr>
          <w:rFonts w:hint="eastAsia"/>
        </w:rPr>
        <w:t>）：最高人民法院</w:t>
      </w:r>
      <w:r>
        <w:rPr>
          <w:rFonts w:hint="eastAsia"/>
          <w:lang w:eastAsia="zh-CN"/>
        </w:rPr>
        <w:t>：</w:t>
      </w:r>
      <w:r>
        <w:rPr>
          <w:rFonts w:hint="eastAsia"/>
        </w:rPr>
        <w:t>（2019）最高法知民终562号</w:t>
      </w:r>
      <w:r>
        <w:rPr>
          <w:rFonts w:hint="eastAsia"/>
          <w:lang w:eastAsia="zh-CN"/>
        </w:rPr>
        <w:t>，</w:t>
      </w:r>
      <w:r>
        <w:rPr>
          <w:rFonts w:hint="eastAsia"/>
        </w:rPr>
        <w:t>广州天赐高新材料有限公司、九江天赐高新材料有限公司诉朱</w:t>
      </w:r>
      <w:r>
        <w:rPr>
          <w:rFonts w:hint="eastAsia"/>
          <w:lang w:val="en-US" w:eastAsia="zh-CN"/>
        </w:rPr>
        <w:t>某</w:t>
      </w:r>
      <w:r>
        <w:rPr>
          <w:rFonts w:hint="eastAsia"/>
        </w:rPr>
        <w:t>、安徽纽曼精细化工有限公司等侵害技术秘密案</w:t>
      </w:r>
      <w:r>
        <w:rPr>
          <w:rFonts w:hint="eastAsia"/>
          <w:lang w:val="en-US" w:eastAsia="zh-CN"/>
        </w:rPr>
        <w:t>民事判决</w:t>
      </w:r>
      <w:r>
        <w:rPr>
          <w:rFonts w:hint="eastAsia"/>
        </w:rPr>
        <w:t>。</w:t>
      </w:r>
    </w:p>
  </w:endnote>
  <w:endnote w:id="13">
    <w:p w14:paraId="6C5CBD97">
      <w:pPr>
        <w:pStyle w:val="2"/>
        <w:snapToGrid w:val="0"/>
        <w:rPr>
          <w:rFonts w:hint="eastAsia"/>
          <w:lang w:eastAsia="zh-CN"/>
        </w:rPr>
      </w:pPr>
      <w:r>
        <w:rPr>
          <w:rStyle w:val="8"/>
        </w:rPr>
        <w:endnoteRef/>
      </w:r>
      <w:r>
        <w:t xml:space="preserve"> </w:t>
      </w:r>
      <w:r>
        <w:rPr>
          <w:rFonts w:hint="eastAsia"/>
        </w:rPr>
        <w:t>注释（论文）：胡良荣</w:t>
      </w:r>
      <w:r>
        <w:rPr>
          <w:rFonts w:hint="eastAsia"/>
          <w:lang w:eastAsia="zh-CN"/>
        </w:rPr>
        <w:t>：</w:t>
      </w:r>
      <w:r>
        <w:rPr>
          <w:rFonts w:hint="eastAsia"/>
        </w:rPr>
        <w:t>侵犯商业秘密刑民交叉案件处理的困惑与出路</w:t>
      </w:r>
      <w:r>
        <w:rPr>
          <w:rFonts w:hint="eastAsia"/>
          <w:lang w:eastAsia="zh-CN"/>
        </w:rPr>
        <w:t>，</w:t>
      </w:r>
      <w:r>
        <w:rPr>
          <w:rFonts w:hint="eastAsia"/>
        </w:rPr>
        <w:t>《知识产权》</w:t>
      </w:r>
      <w:r>
        <w:rPr>
          <w:rFonts w:hint="eastAsia"/>
          <w:lang w:eastAsia="zh-CN"/>
        </w:rPr>
        <w:t>，</w:t>
      </w:r>
      <w:r>
        <w:rPr>
          <w:rFonts w:hint="eastAsia"/>
        </w:rPr>
        <w:t>2011年第6期</w:t>
      </w:r>
      <w:r>
        <w:rPr>
          <w:rFonts w:hint="eastAsia"/>
          <w:lang w:eastAsia="zh-CN"/>
        </w:rPr>
        <w:t>。</w:t>
      </w:r>
    </w:p>
  </w:endnote>
  <w:endnote w:id="14">
    <w:p w14:paraId="1034775C">
      <w:pPr>
        <w:pStyle w:val="2"/>
        <w:snapToGrid w:val="0"/>
        <w:rPr>
          <w:rFonts w:hint="eastAsia"/>
          <w:lang w:eastAsia="zh-CN"/>
        </w:rPr>
      </w:pPr>
      <w:r>
        <w:rPr>
          <w:rStyle w:val="8"/>
        </w:rPr>
        <w:endnoteRef/>
      </w:r>
      <w:r>
        <w:t xml:space="preserve"> </w:t>
      </w:r>
      <w:r>
        <w:rPr>
          <w:rFonts w:hint="eastAsia"/>
        </w:rPr>
        <w:t>注释（论文）：魏远山</w:t>
      </w:r>
      <w:r>
        <w:rPr>
          <w:rFonts w:hint="eastAsia"/>
          <w:lang w:eastAsia="zh-CN"/>
        </w:rPr>
        <w:t>、</w:t>
      </w:r>
      <w:r>
        <w:rPr>
          <w:rFonts w:hint="eastAsia"/>
        </w:rPr>
        <w:t>朱蕾</w:t>
      </w:r>
      <w:r>
        <w:rPr>
          <w:rFonts w:hint="eastAsia"/>
          <w:lang w:eastAsia="zh-CN"/>
        </w:rPr>
        <w:t>：</w:t>
      </w:r>
      <w:r>
        <w:rPr>
          <w:rFonts w:hint="eastAsia"/>
        </w:rPr>
        <w:t>商业秘密民刑交叉案件的审理规则研究</w:t>
      </w:r>
      <w:r>
        <w:rPr>
          <w:rFonts w:hint="eastAsia"/>
          <w:lang w:eastAsia="zh-CN"/>
        </w:rPr>
        <w:t>，</w:t>
      </w:r>
      <w:r>
        <w:rPr>
          <w:rFonts w:hint="eastAsia"/>
        </w:rPr>
        <w:t>《黑龙江省政法管理干部学院学报》</w:t>
      </w:r>
      <w:r>
        <w:rPr>
          <w:rFonts w:hint="eastAsia"/>
          <w:lang w:eastAsia="zh-CN"/>
        </w:rPr>
        <w:t>，</w:t>
      </w:r>
      <w:r>
        <w:rPr>
          <w:rFonts w:hint="eastAsia"/>
        </w:rPr>
        <w:t>2023年第2期</w:t>
      </w:r>
      <w:r>
        <w:rPr>
          <w:rFonts w:hint="eastAsia"/>
          <w:lang w:eastAsia="zh-CN"/>
        </w:rPr>
        <w:t>。</w:t>
      </w:r>
    </w:p>
  </w:endnote>
  <w:endnote w:id="15">
    <w:p w14:paraId="0039C745">
      <w:pPr>
        <w:pStyle w:val="2"/>
        <w:snapToGrid w:val="0"/>
        <w:rPr>
          <w:rFonts w:hint="eastAsia"/>
          <w:lang w:eastAsia="zh-CN"/>
        </w:rPr>
      </w:pPr>
      <w:r>
        <w:rPr>
          <w:rStyle w:val="8"/>
        </w:rPr>
        <w:endnoteRef/>
      </w:r>
      <w:r>
        <w:t xml:space="preserve"> </w:t>
      </w:r>
      <w:r>
        <w:rPr>
          <w:rFonts w:hint="eastAsia"/>
        </w:rPr>
        <w:t>注释（论文）：黄心蕊</w:t>
      </w:r>
      <w:r>
        <w:rPr>
          <w:rFonts w:hint="eastAsia"/>
          <w:lang w:eastAsia="zh-CN"/>
        </w:rPr>
        <w:t>：</w:t>
      </w:r>
      <w:r>
        <w:rPr>
          <w:rFonts w:hint="eastAsia"/>
        </w:rPr>
        <w:t>知识产权案件刑民交叉先民后刑研究</w:t>
      </w:r>
      <w:r>
        <w:rPr>
          <w:rFonts w:hint="eastAsia"/>
          <w:lang w:eastAsia="zh-CN"/>
        </w:rPr>
        <w:t>，</w:t>
      </w:r>
      <w:r>
        <w:rPr>
          <w:rFonts w:hint="eastAsia"/>
        </w:rPr>
        <w:t>《现代商贸工业》</w:t>
      </w:r>
      <w:r>
        <w:rPr>
          <w:rFonts w:hint="eastAsia"/>
          <w:lang w:eastAsia="zh-CN"/>
        </w:rPr>
        <w:t>，</w:t>
      </w:r>
      <w:r>
        <w:rPr>
          <w:rFonts w:hint="eastAsia"/>
        </w:rPr>
        <w:t>2014年第17期</w:t>
      </w:r>
      <w:r>
        <w:rPr>
          <w:rFonts w:hint="eastAsia"/>
          <w:lang w:eastAsia="zh-CN"/>
        </w:rPr>
        <w:t>。</w:t>
      </w:r>
    </w:p>
  </w:endnote>
  <w:endnote w:id="16">
    <w:p w14:paraId="1B7A644F">
      <w:pPr>
        <w:pStyle w:val="2"/>
        <w:snapToGrid w:val="0"/>
        <w:rPr>
          <w:rFonts w:hint="eastAsia"/>
          <w:lang w:eastAsia="zh-CN"/>
        </w:rPr>
      </w:pPr>
      <w:r>
        <w:rPr>
          <w:rStyle w:val="8"/>
        </w:rPr>
        <w:endnoteRef/>
      </w:r>
      <w:r>
        <w:t xml:space="preserve"> </w:t>
      </w:r>
      <w:r>
        <w:rPr>
          <w:rFonts w:hint="eastAsia"/>
        </w:rPr>
        <w:t>注释（论文）：黄娟</w:t>
      </w:r>
      <w:r>
        <w:rPr>
          <w:rFonts w:hint="eastAsia"/>
          <w:lang w:eastAsia="zh-CN"/>
        </w:rPr>
        <w:t>：</w:t>
      </w:r>
      <w:r>
        <w:rPr>
          <w:rFonts w:hint="eastAsia"/>
        </w:rPr>
        <w:t>知识产权刑民交叉案件解决之</w:t>
      </w:r>
      <w:r>
        <w:rPr>
          <w:rFonts w:hint="eastAsia"/>
          <w:lang w:eastAsia="zh-CN"/>
        </w:rPr>
        <w:t>“</w:t>
      </w:r>
      <w:r>
        <w:rPr>
          <w:rFonts w:hint="eastAsia"/>
        </w:rPr>
        <w:t>先民后刑</w:t>
      </w:r>
      <w:r>
        <w:rPr>
          <w:rFonts w:hint="eastAsia"/>
          <w:lang w:eastAsia="zh-CN"/>
        </w:rPr>
        <w:t>”</w:t>
      </w:r>
      <w:r>
        <w:rPr>
          <w:rFonts w:hint="eastAsia"/>
        </w:rPr>
        <w:t>思路：选择理由与实施机制</w:t>
      </w:r>
      <w:r>
        <w:rPr>
          <w:rFonts w:hint="eastAsia"/>
          <w:lang w:eastAsia="zh-CN"/>
        </w:rPr>
        <w:t>，</w:t>
      </w:r>
      <w:r>
        <w:rPr>
          <w:rFonts w:hint="eastAsia"/>
        </w:rPr>
        <w:t>《暨南学报</w:t>
      </w:r>
      <w:r>
        <w:rPr>
          <w:rFonts w:hint="eastAsia"/>
          <w:lang w:eastAsia="zh-CN"/>
        </w:rPr>
        <w:t>（</w:t>
      </w:r>
      <w:r>
        <w:rPr>
          <w:rFonts w:hint="eastAsia"/>
        </w:rPr>
        <w:t>哲学社会科学版</w:t>
      </w:r>
      <w:r>
        <w:rPr>
          <w:rFonts w:hint="eastAsia"/>
          <w:lang w:eastAsia="zh-CN"/>
        </w:rPr>
        <w:t>）</w:t>
      </w:r>
      <w:r>
        <w:rPr>
          <w:rFonts w:hint="eastAsia"/>
        </w:rPr>
        <w:t>》</w:t>
      </w:r>
      <w:r>
        <w:rPr>
          <w:rFonts w:hint="eastAsia"/>
          <w:lang w:eastAsia="zh-CN"/>
        </w:rPr>
        <w:t>，</w:t>
      </w:r>
      <w:r>
        <w:rPr>
          <w:rFonts w:hint="eastAsia"/>
        </w:rPr>
        <w:t>2011年第2期</w:t>
      </w:r>
      <w:r>
        <w:rPr>
          <w:rFonts w:hint="eastAsia"/>
          <w:lang w:eastAsia="zh-CN"/>
        </w:rPr>
        <w:t>。</w:t>
      </w:r>
    </w:p>
  </w:endnote>
  <w:endnote w:id="17">
    <w:p w14:paraId="5E0105B1">
      <w:pPr>
        <w:pStyle w:val="2"/>
        <w:snapToGrid w:val="0"/>
        <w:rPr>
          <w:rFonts w:hint="eastAsia"/>
          <w:lang w:eastAsia="zh-CN"/>
        </w:rPr>
      </w:pPr>
      <w:r>
        <w:rPr>
          <w:rStyle w:val="8"/>
        </w:rPr>
        <w:endnoteRef/>
      </w:r>
      <w:r>
        <w:t xml:space="preserve"> </w:t>
      </w:r>
      <w:r>
        <w:rPr>
          <w:rFonts w:hint="eastAsia"/>
        </w:rPr>
        <w:t>注释（论文）：黄亮</w:t>
      </w:r>
      <w:r>
        <w:rPr>
          <w:rFonts w:hint="eastAsia"/>
          <w:lang w:eastAsia="zh-CN"/>
        </w:rPr>
        <w:t>：</w:t>
      </w:r>
      <w:r>
        <w:rPr>
          <w:rFonts w:hint="eastAsia"/>
        </w:rPr>
        <w:t>商业秘密刑民交叉案件处理模式的困境及其破解</w:t>
      </w:r>
      <w:r>
        <w:rPr>
          <w:rFonts w:hint="eastAsia"/>
          <w:lang w:eastAsia="zh-CN"/>
        </w:rPr>
        <w:t>，</w:t>
      </w:r>
      <w:r>
        <w:rPr>
          <w:rFonts w:hint="eastAsia"/>
        </w:rPr>
        <w:t>《时代法学》</w:t>
      </w:r>
      <w:r>
        <w:rPr>
          <w:rFonts w:hint="eastAsia"/>
          <w:lang w:eastAsia="zh-CN"/>
        </w:rPr>
        <w:t>，</w:t>
      </w:r>
      <w:r>
        <w:rPr>
          <w:rFonts w:hint="eastAsia"/>
        </w:rPr>
        <w:t>2015年6月</w:t>
      </w:r>
      <w:r>
        <w:rPr>
          <w:rFonts w:hint="eastAsia"/>
          <w:lang w:eastAsia="zh-CN"/>
        </w:rPr>
        <w:t>。</w:t>
      </w:r>
    </w:p>
  </w:endnote>
  <w:endnote w:id="18">
    <w:p w14:paraId="3DC2F83A">
      <w:pPr>
        <w:pStyle w:val="2"/>
        <w:snapToGrid w:val="0"/>
        <w:rPr>
          <w:rFonts w:hint="eastAsia"/>
        </w:rPr>
      </w:pPr>
      <w:r>
        <w:rPr>
          <w:rStyle w:val="8"/>
        </w:rPr>
        <w:endnoteRef/>
      </w:r>
      <w:r>
        <w:t xml:space="preserve"> </w:t>
      </w:r>
      <w:r>
        <w:rPr>
          <w:rFonts w:hint="eastAsia"/>
        </w:rPr>
        <w:t>注释（</w:t>
      </w:r>
      <w:r>
        <w:rPr>
          <w:rFonts w:hint="eastAsia"/>
          <w:lang w:val="en-US" w:eastAsia="zh-CN"/>
        </w:rPr>
        <w:t>案例</w:t>
      </w:r>
      <w:r>
        <w:rPr>
          <w:rFonts w:hint="eastAsia"/>
        </w:rPr>
        <w:t>）：最高人民法院</w:t>
      </w:r>
      <w:r>
        <w:rPr>
          <w:rFonts w:hint="eastAsia"/>
          <w:lang w:eastAsia="zh-CN"/>
        </w:rPr>
        <w:t>：</w:t>
      </w:r>
      <w:r>
        <w:rPr>
          <w:rFonts w:hint="eastAsia"/>
        </w:rPr>
        <w:t>（2020）最高法知民终1667号</w:t>
      </w:r>
      <w:r>
        <w:rPr>
          <w:rFonts w:hint="eastAsia"/>
          <w:lang w:eastAsia="zh-CN"/>
        </w:rPr>
        <w:t>，</w:t>
      </w:r>
      <w:r>
        <w:rPr>
          <w:rFonts w:hint="eastAsia"/>
        </w:rPr>
        <w:t>嘉兴市中华化工有限责任公司、上海欣晨新技术有限公司诉王龙集团有限公司、宁波王龙科技股份有限公司等侵害技术秘密纠纷案</w:t>
      </w:r>
      <w:r>
        <w:rPr>
          <w:rFonts w:hint="eastAsia"/>
          <w:lang w:val="en-US" w:eastAsia="zh-CN"/>
        </w:rPr>
        <w:t>民事判决</w:t>
      </w:r>
      <w:r>
        <w:rPr>
          <w:rFonts w:hint="eastAsia"/>
        </w:rPr>
        <w:t>。</w:t>
      </w:r>
    </w:p>
  </w:endnote>
  <w:endnote w:id="19">
    <w:p w14:paraId="5FD354E2">
      <w:pPr>
        <w:pStyle w:val="2"/>
        <w:snapToGrid w:val="0"/>
        <w:rPr>
          <w:rFonts w:hint="default"/>
          <w:lang w:val="en-US" w:eastAsia="zh-CN"/>
        </w:rPr>
      </w:pPr>
      <w:r>
        <w:rPr>
          <w:rStyle w:val="8"/>
        </w:rPr>
        <w:endnoteRef/>
      </w:r>
      <w:r>
        <w:rPr>
          <w:rFonts w:hint="eastAsia"/>
        </w:rPr>
        <w:t>注释（</w:t>
      </w:r>
      <w:r>
        <w:rPr>
          <w:rFonts w:hint="eastAsia"/>
          <w:lang w:val="en-US" w:eastAsia="zh-CN"/>
        </w:rPr>
        <w:t>案例</w:t>
      </w:r>
      <w:r>
        <w:rPr>
          <w:rFonts w:hint="eastAsia"/>
        </w:rPr>
        <w:t>）：杭州市中级人民法院</w:t>
      </w:r>
      <w:r>
        <w:rPr>
          <w:rFonts w:hint="eastAsia"/>
          <w:lang w:eastAsia="zh-CN"/>
        </w:rPr>
        <w:t>：</w:t>
      </w:r>
      <w:r>
        <w:rPr>
          <w:rFonts w:hint="eastAsia"/>
        </w:rPr>
        <w:t>（2013）浙杭刑再字第2号</w:t>
      </w:r>
      <w:r>
        <w:rPr>
          <w:rFonts w:hint="eastAsia"/>
          <w:lang w:eastAsia="zh-CN"/>
        </w:rPr>
        <w:t>，郑</w:t>
      </w:r>
      <w:r>
        <w:rPr>
          <w:rFonts w:hint="eastAsia"/>
          <w:lang w:val="en-US" w:eastAsia="zh-CN"/>
        </w:rPr>
        <w:t>某</w:t>
      </w:r>
      <w:r>
        <w:rPr>
          <w:rFonts w:hint="eastAsia"/>
          <w:lang w:eastAsia="zh-CN"/>
        </w:rPr>
        <w:t>挪用公款罪</w:t>
      </w:r>
      <w:r>
        <w:rPr>
          <w:rFonts w:hint="eastAsia"/>
          <w:lang w:val="en-US" w:eastAsia="zh-CN"/>
        </w:rPr>
        <w:t>案刑事判决。</w:t>
      </w:r>
    </w:p>
  </w:endnote>
  <w:endnote w:id="20">
    <w:p w14:paraId="6A0CF35C">
      <w:pPr>
        <w:pStyle w:val="2"/>
        <w:snapToGrid w:val="0"/>
        <w:rPr>
          <w:rFonts w:hint="eastAsia"/>
          <w:lang w:val="en-US" w:eastAsia="zh-CN"/>
        </w:rPr>
      </w:pPr>
      <w:r>
        <w:rPr>
          <w:rStyle w:val="8"/>
        </w:rPr>
        <w:endnoteRef/>
      </w:r>
      <w:r>
        <w:t xml:space="preserve"> </w:t>
      </w:r>
      <w:r>
        <w:rPr>
          <w:rFonts w:hint="eastAsia"/>
        </w:rPr>
        <w:t>注释（论文）：</w:t>
      </w:r>
      <w:r>
        <w:rPr>
          <w:rFonts w:hint="eastAsia"/>
          <w:lang w:val="en-US" w:eastAsia="zh-CN"/>
        </w:rPr>
        <w:t>同注释</w:t>
      </w:r>
      <w:r>
        <w:rPr>
          <w:rFonts w:hint="eastAsia"/>
          <w:lang w:val="en-US" w:eastAsia="zh-CN"/>
        </w:rPr>
        <w:fldChar w:fldCharType="begin"/>
      </w:r>
      <w:r>
        <w:rPr>
          <w:rFonts w:hint="eastAsia"/>
          <w:lang w:val="en-US" w:eastAsia="zh-CN"/>
        </w:rPr>
        <w:instrText xml:space="preserve"> = 12 \* roman \* MERGEFORMAT </w:instrText>
      </w:r>
      <w:r>
        <w:rPr>
          <w:rFonts w:hint="eastAsia"/>
          <w:lang w:val="en-US" w:eastAsia="zh-CN"/>
        </w:rPr>
        <w:fldChar w:fldCharType="separate"/>
      </w:r>
      <w:r>
        <w:rPr>
          <w:rFonts w:hint="eastAsia"/>
          <w:lang w:val="en-US" w:eastAsia="zh-CN"/>
        </w:rPr>
        <w:t>15</w:t>
      </w:r>
      <w:r>
        <w:rPr>
          <w:rFonts w:hint="eastAsia"/>
          <w:lang w:val="en-US" w:eastAsia="zh-CN"/>
        </w:rPr>
        <w:fldChar w:fldCharType="end"/>
      </w:r>
      <w:r>
        <w:rPr>
          <w:rFonts w:hint="eastAsia"/>
          <w:lang w:val="en-US" w:eastAsia="zh-CN"/>
        </w:rPr>
        <w:t>。</w:t>
      </w:r>
    </w:p>
  </w:endnote>
  <w:endnote w:id="21">
    <w:p w14:paraId="6A5116AC">
      <w:pPr>
        <w:pStyle w:val="2"/>
        <w:snapToGrid w:val="0"/>
        <w:rPr>
          <w:rFonts w:hint="eastAsia"/>
          <w:lang w:eastAsia="zh-CN"/>
        </w:rPr>
      </w:pPr>
      <w:r>
        <w:rPr>
          <w:rStyle w:val="8"/>
        </w:rPr>
        <w:endnoteRef/>
      </w:r>
      <w:r>
        <w:t xml:space="preserve"> </w:t>
      </w:r>
      <w:r>
        <w:rPr>
          <w:rFonts w:hint="eastAsia"/>
        </w:rPr>
        <w:t>注释（论文）：贺志军</w:t>
      </w:r>
      <w:r>
        <w:rPr>
          <w:rFonts w:hint="eastAsia"/>
          <w:lang w:eastAsia="zh-CN"/>
        </w:rPr>
        <w:t>：</w:t>
      </w:r>
      <w:r>
        <w:rPr>
          <w:rFonts w:hint="eastAsia"/>
        </w:rPr>
        <w:t>知识产权案件刑民程序关系的理论反思与规则构建</w:t>
      </w:r>
      <w:r>
        <w:rPr>
          <w:rFonts w:hint="eastAsia"/>
          <w:lang w:eastAsia="zh-CN"/>
        </w:rPr>
        <w:t>，《</w:t>
      </w:r>
      <w:r>
        <w:rPr>
          <w:rFonts w:hint="eastAsia"/>
        </w:rPr>
        <w:t>湖湘论坛</w:t>
      </w:r>
      <w:r>
        <w:rPr>
          <w:rFonts w:hint="eastAsia"/>
          <w:lang w:eastAsia="zh-CN"/>
        </w:rPr>
        <w:t>》，</w:t>
      </w:r>
      <w:r>
        <w:rPr>
          <w:rFonts w:hint="eastAsia"/>
        </w:rPr>
        <w:t>2019 年</w:t>
      </w:r>
      <w:r>
        <w:rPr>
          <w:rFonts w:hint="eastAsia"/>
          <w:lang w:val="en-US" w:eastAsia="zh-CN"/>
        </w:rPr>
        <w:t>第</w:t>
      </w:r>
      <w:r>
        <w:rPr>
          <w:rFonts w:hint="eastAsia"/>
        </w:rPr>
        <w:t>2期</w:t>
      </w:r>
      <w:r>
        <w:rPr>
          <w:rFonts w:hint="eastAsia"/>
          <w:lang w:eastAsia="zh-CN"/>
        </w:rPr>
        <w:t>。</w:t>
      </w:r>
    </w:p>
  </w:endnote>
  <w:endnote w:id="22">
    <w:p w14:paraId="69BBA1D7">
      <w:pPr>
        <w:pStyle w:val="2"/>
        <w:snapToGrid w:val="0"/>
        <w:rPr>
          <w:rFonts w:hint="eastAsia"/>
          <w:lang w:eastAsia="zh-CN"/>
        </w:rPr>
      </w:pPr>
      <w:r>
        <w:rPr>
          <w:rStyle w:val="8"/>
        </w:rPr>
        <w:endnoteRef/>
      </w:r>
      <w:r>
        <w:t xml:space="preserve"> </w:t>
      </w:r>
      <w:r>
        <w:rPr>
          <w:rFonts w:hint="eastAsia"/>
        </w:rPr>
        <w:t>注释（论文）：江苏省南京市中级人民法院课题组</w:t>
      </w:r>
      <w:r>
        <w:rPr>
          <w:rFonts w:hint="eastAsia"/>
          <w:lang w:eastAsia="zh-CN"/>
        </w:rPr>
        <w:t>：</w:t>
      </w:r>
      <w:r>
        <w:rPr>
          <w:rFonts w:hint="eastAsia"/>
        </w:rPr>
        <w:t>知识产权民刑交叉案件审理模式的理性分析与路径选择</w:t>
      </w:r>
      <w:r>
        <w:rPr>
          <w:rFonts w:hint="eastAsia"/>
          <w:lang w:eastAsia="zh-CN"/>
        </w:rPr>
        <w:t>，</w:t>
      </w:r>
      <w:r>
        <w:rPr>
          <w:rFonts w:hint="eastAsia"/>
        </w:rPr>
        <w:t>《中国应用法学》</w:t>
      </w:r>
      <w:r>
        <w:rPr>
          <w:rFonts w:hint="eastAsia"/>
          <w:lang w:eastAsia="zh-CN"/>
        </w:rPr>
        <w:t>，</w:t>
      </w:r>
      <w:r>
        <w:rPr>
          <w:rFonts w:hint="eastAsia"/>
        </w:rPr>
        <w:t>2020 年第6期</w:t>
      </w:r>
      <w:r>
        <w:rPr>
          <w:rFonts w:hint="eastAsia"/>
          <w:lang w:eastAsia="zh-CN"/>
        </w:rPr>
        <w:t>。</w:t>
      </w:r>
    </w:p>
  </w:endnote>
  <w:endnote w:id="23">
    <w:p w14:paraId="75EB7458">
      <w:pPr>
        <w:pStyle w:val="2"/>
        <w:snapToGrid w:val="0"/>
        <w:rPr>
          <w:rFonts w:hint="eastAsia"/>
        </w:rPr>
      </w:pPr>
      <w:r>
        <w:rPr>
          <w:rStyle w:val="8"/>
        </w:rPr>
        <w:endnoteRef/>
      </w:r>
      <w:r>
        <w:t xml:space="preserve"> </w:t>
      </w:r>
      <w:r>
        <w:rPr>
          <w:rFonts w:hint="eastAsia"/>
        </w:rPr>
        <w:t>注释（</w:t>
      </w:r>
      <w:r>
        <w:rPr>
          <w:rFonts w:hint="eastAsia"/>
          <w:lang w:val="en-US" w:eastAsia="zh-CN"/>
        </w:rPr>
        <w:t>案例</w:t>
      </w:r>
      <w:r>
        <w:rPr>
          <w:rFonts w:hint="eastAsia"/>
        </w:rPr>
        <w:t>）：</w:t>
      </w:r>
      <w:r>
        <w:rPr>
          <w:rFonts w:hint="eastAsia"/>
          <w:lang w:val="en-US" w:eastAsia="zh-CN"/>
        </w:rPr>
        <w:t>广东省</w:t>
      </w:r>
      <w:r>
        <w:rPr>
          <w:rFonts w:hint="eastAsia"/>
        </w:rPr>
        <w:t>江门市蓬江区人民法院</w:t>
      </w:r>
      <w:r>
        <w:rPr>
          <w:rFonts w:hint="eastAsia"/>
          <w:lang w:eastAsia="zh-CN"/>
        </w:rPr>
        <w:t>：</w:t>
      </w:r>
      <w:r>
        <w:rPr>
          <w:rFonts w:hint="eastAsia"/>
        </w:rPr>
        <w:t>（2015）江蓬法知民初字第35号</w:t>
      </w:r>
      <w:r>
        <w:rPr>
          <w:rFonts w:hint="eastAsia"/>
          <w:lang w:eastAsia="zh-CN"/>
        </w:rPr>
        <w:t>，</w:t>
      </w:r>
      <w:r>
        <w:rPr>
          <w:rFonts w:hint="eastAsia"/>
        </w:rPr>
        <w:t>佛山市南海区桂城景兴商务拓展有限公司与余某等侵害商标权纠纷</w:t>
      </w:r>
      <w:r>
        <w:rPr>
          <w:rFonts w:hint="eastAsia"/>
          <w:lang w:val="en-US" w:eastAsia="zh-CN"/>
        </w:rPr>
        <w:t>案</w:t>
      </w:r>
      <w:r>
        <w:rPr>
          <w:rFonts w:hint="eastAsia"/>
        </w:rPr>
        <w:t>民事判决。</w:t>
      </w:r>
    </w:p>
  </w:endnote>
  <w:endnote w:id="24">
    <w:p w14:paraId="18DA31F8">
      <w:pPr>
        <w:pStyle w:val="2"/>
        <w:snapToGrid w:val="0"/>
        <w:rPr>
          <w:rFonts w:hint="eastAsia"/>
          <w:lang w:eastAsia="zh-CN"/>
        </w:rPr>
      </w:pPr>
      <w:r>
        <w:rPr>
          <w:rStyle w:val="8"/>
        </w:rPr>
        <w:endnoteRef/>
      </w:r>
      <w:r>
        <w:rPr>
          <w:rFonts w:hint="eastAsia"/>
        </w:rPr>
        <w:t>注释（</w:t>
      </w:r>
      <w:r>
        <w:rPr>
          <w:rFonts w:hint="eastAsia"/>
          <w:lang w:val="en-US" w:eastAsia="zh-CN"/>
        </w:rPr>
        <w:t>案例</w:t>
      </w:r>
      <w:r>
        <w:rPr>
          <w:rFonts w:hint="eastAsia"/>
        </w:rPr>
        <w:t>）：最高人民法院</w:t>
      </w:r>
      <w:r>
        <w:rPr>
          <w:rFonts w:hint="eastAsia"/>
          <w:lang w:eastAsia="zh-CN"/>
        </w:rPr>
        <w:t>：</w:t>
      </w:r>
      <w:r>
        <w:rPr>
          <w:rFonts w:hint="eastAsia"/>
        </w:rPr>
        <w:t>（2019）最高法知民终333号</w:t>
      </w:r>
      <w:r>
        <w:rPr>
          <w:rFonts w:hint="eastAsia"/>
          <w:lang w:eastAsia="zh-CN"/>
        </w:rPr>
        <w:t>，宁波必沃纺织机械有限公司与宁波慈星股份有限公司技术秘密许可使用合同纠纷</w:t>
      </w:r>
      <w:r>
        <w:rPr>
          <w:rFonts w:hint="eastAsia"/>
          <w:lang w:val="en-US" w:eastAsia="zh-CN"/>
        </w:rPr>
        <w:t>案</w:t>
      </w:r>
      <w:r>
        <w:rPr>
          <w:rFonts w:hint="eastAsia"/>
        </w:rPr>
        <w:t>民事判决</w:t>
      </w:r>
      <w:r>
        <w:rPr>
          <w:rFonts w:hint="eastAsia"/>
          <w:lang w:eastAsia="zh-CN"/>
        </w:rPr>
        <w:t>。</w:t>
      </w:r>
    </w:p>
  </w:endnote>
  <w:endnote w:id="25">
    <w:p w14:paraId="07F9E9B8">
      <w:pPr>
        <w:pStyle w:val="2"/>
        <w:snapToGrid w:val="0"/>
        <w:rPr>
          <w:rFonts w:hint="eastAsia"/>
          <w:lang w:eastAsia="zh-CN"/>
        </w:rPr>
      </w:pPr>
      <w:r>
        <w:rPr>
          <w:rStyle w:val="8"/>
        </w:rPr>
        <w:endnoteRef/>
      </w:r>
      <w:r>
        <w:t xml:space="preserve"> </w:t>
      </w:r>
      <w:r>
        <w:rPr>
          <w:rFonts w:hint="eastAsia"/>
        </w:rPr>
        <w:t>注释（论文）：鲍一鸣</w:t>
      </w:r>
      <w:r>
        <w:rPr>
          <w:rFonts w:hint="eastAsia"/>
          <w:lang w:eastAsia="zh-CN"/>
        </w:rPr>
        <w:t>、</w:t>
      </w:r>
      <w:r>
        <w:rPr>
          <w:rFonts w:hint="eastAsia"/>
        </w:rPr>
        <w:t>孙那</w:t>
      </w:r>
      <w:r>
        <w:rPr>
          <w:rFonts w:hint="eastAsia"/>
          <w:lang w:eastAsia="zh-CN"/>
        </w:rPr>
        <w:t>：</w:t>
      </w:r>
      <w:r>
        <w:rPr>
          <w:rFonts w:hint="eastAsia"/>
        </w:rPr>
        <w:t>知识产权刑民交叉问题研究</w:t>
      </w:r>
      <w:r>
        <w:rPr>
          <w:rFonts w:hint="eastAsia"/>
          <w:lang w:eastAsia="zh-CN"/>
        </w:rPr>
        <w:t>，</w:t>
      </w:r>
      <w:r>
        <w:rPr>
          <w:rFonts w:hint="eastAsia"/>
        </w:rPr>
        <w:t>《电子知识产权》</w:t>
      </w:r>
      <w:r>
        <w:rPr>
          <w:rFonts w:hint="eastAsia"/>
          <w:lang w:eastAsia="zh-CN"/>
        </w:rPr>
        <w:t>，</w:t>
      </w:r>
      <w:r>
        <w:rPr>
          <w:rFonts w:hint="eastAsia"/>
        </w:rPr>
        <w:t>2023年第10期</w:t>
      </w:r>
      <w:r>
        <w:rPr>
          <w:rFonts w:hint="eastAsia"/>
          <w:lang w:eastAsia="zh-CN"/>
        </w:rPr>
        <w:t>。</w:t>
      </w:r>
    </w:p>
  </w:endnote>
  <w:endnote w:id="26">
    <w:p w14:paraId="5DFFC16E">
      <w:pPr>
        <w:pStyle w:val="2"/>
        <w:snapToGrid w:val="0"/>
        <w:rPr>
          <w:rFonts w:hint="eastAsia"/>
          <w:lang w:val="en-US" w:eastAsia="zh-CN"/>
        </w:rPr>
      </w:pPr>
      <w:r>
        <w:rPr>
          <w:rStyle w:val="8"/>
        </w:rPr>
        <w:endnoteRef/>
      </w:r>
      <w:r>
        <w:t xml:space="preserve"> </w:t>
      </w:r>
      <w:r>
        <w:rPr>
          <w:rFonts w:hint="eastAsia"/>
        </w:rPr>
        <w:t>注释（论文）：</w:t>
      </w:r>
      <w:r>
        <w:rPr>
          <w:rFonts w:hint="eastAsia"/>
          <w:lang w:val="en-US" w:eastAsia="zh-CN"/>
        </w:rPr>
        <w:t>同注释10。</w:t>
      </w:r>
    </w:p>
  </w:endnote>
  <w:endnote w:id="27">
    <w:p w14:paraId="10E5FB5F">
      <w:pPr>
        <w:pStyle w:val="2"/>
        <w:snapToGrid w:val="0"/>
        <w:rPr>
          <w:rFonts w:hint="default"/>
          <w:lang w:val="en-US" w:eastAsia="zh-CN"/>
        </w:rPr>
      </w:pPr>
      <w:r>
        <w:rPr>
          <w:rStyle w:val="8"/>
        </w:rPr>
        <w:endnoteRef/>
      </w:r>
      <w:r>
        <w:t xml:space="preserve"> </w:t>
      </w:r>
      <w:r>
        <w:rPr>
          <w:rFonts w:hint="eastAsia"/>
        </w:rPr>
        <w:t>注释（</w:t>
      </w:r>
      <w:r>
        <w:rPr>
          <w:rFonts w:hint="eastAsia"/>
          <w:lang w:val="en-US" w:eastAsia="zh-CN"/>
        </w:rPr>
        <w:t>案例</w:t>
      </w:r>
      <w:r>
        <w:rPr>
          <w:rFonts w:hint="eastAsia"/>
        </w:rPr>
        <w:t>）：最高人民法院</w:t>
      </w:r>
      <w:r>
        <w:rPr>
          <w:rFonts w:hint="eastAsia"/>
          <w:lang w:eastAsia="zh-CN"/>
        </w:rPr>
        <w:t>：</w:t>
      </w:r>
      <w:r>
        <w:rPr>
          <w:rFonts w:hint="eastAsia"/>
        </w:rPr>
        <w:t>（2023）最高法知民终2865号</w:t>
      </w:r>
      <w:r>
        <w:rPr>
          <w:rFonts w:hint="eastAsia"/>
          <w:lang w:eastAsia="zh-CN"/>
        </w:rPr>
        <w:t>，</w:t>
      </w:r>
      <w:r>
        <w:rPr>
          <w:rFonts w:hint="eastAsia"/>
        </w:rPr>
        <w:t>重庆普施康科技发展股份有限公司与周某、广州奥迈医疗科技有限公司、苏州好博医疗器械股份有限公司侵害计算机软件著作权纠纷案</w:t>
      </w:r>
      <w:r>
        <w:rPr>
          <w:rFonts w:hint="eastAsia"/>
          <w:lang w:val="en-US" w:eastAsia="zh-CN"/>
        </w:rPr>
        <w:t>民事判决。</w:t>
      </w:r>
    </w:p>
  </w:endnote>
  <w:endnote w:id="28">
    <w:p w14:paraId="0A6373C9">
      <w:pPr>
        <w:pStyle w:val="2"/>
        <w:snapToGrid w:val="0"/>
        <w:rPr>
          <w:rFonts w:hint="eastAsia"/>
          <w:lang w:eastAsia="zh-CN"/>
        </w:rPr>
      </w:pPr>
      <w:r>
        <w:rPr>
          <w:rStyle w:val="8"/>
        </w:rPr>
        <w:endnoteRef/>
      </w:r>
      <w:r>
        <w:t xml:space="preserve"> </w:t>
      </w:r>
      <w:r>
        <w:rPr>
          <w:rFonts w:hint="eastAsia"/>
        </w:rPr>
        <w:t>注释（</w:t>
      </w:r>
      <w:r>
        <w:rPr>
          <w:rFonts w:hint="eastAsia"/>
          <w:lang w:val="en-US" w:eastAsia="zh-CN"/>
        </w:rPr>
        <w:t>案例</w:t>
      </w:r>
      <w:r>
        <w:rPr>
          <w:rFonts w:hint="eastAsia"/>
        </w:rPr>
        <w:t>）：转引自陆平</w:t>
      </w:r>
      <w:r>
        <w:rPr>
          <w:rFonts w:hint="eastAsia"/>
          <w:lang w:eastAsia="zh-CN"/>
        </w:rPr>
        <w:t>：</w:t>
      </w:r>
      <w:r>
        <w:rPr>
          <w:rFonts w:hint="eastAsia"/>
        </w:rPr>
        <w:t>刑民交叉案件中民事责任的承担——评马尼株式会社诉吴某全侵害商标权案</w:t>
      </w:r>
      <w:r>
        <w:rPr>
          <w:rFonts w:hint="eastAsia"/>
          <w:lang w:eastAsia="zh-CN"/>
        </w:rPr>
        <w:t>，</w:t>
      </w:r>
      <w:r>
        <w:rPr>
          <w:rFonts w:hint="eastAsia"/>
        </w:rPr>
        <w:t>《知产财经》</w:t>
      </w:r>
      <w:r>
        <w:rPr>
          <w:rFonts w:hint="eastAsia"/>
          <w:lang w:eastAsia="zh-CN"/>
        </w:rPr>
        <w:t>，</w:t>
      </w:r>
      <w:r>
        <w:rPr>
          <w:rFonts w:hint="eastAsia"/>
        </w:rPr>
        <w:t>2023</w:t>
      </w:r>
      <w:r>
        <w:rPr>
          <w:rFonts w:hint="eastAsia"/>
          <w:lang w:val="en-US" w:eastAsia="zh-CN"/>
        </w:rPr>
        <w:t>年</w:t>
      </w:r>
      <w:r>
        <w:rPr>
          <w:rFonts w:hint="eastAsia"/>
        </w:rPr>
        <w:t>8</w:t>
      </w:r>
      <w:r>
        <w:rPr>
          <w:rFonts w:hint="eastAsia"/>
          <w:lang w:val="en-US" w:eastAsia="zh-CN"/>
        </w:rPr>
        <w:t>月</w:t>
      </w:r>
      <w:r>
        <w:rPr>
          <w:rFonts w:hint="eastAsia"/>
        </w:rPr>
        <w:t>11</w:t>
      </w:r>
      <w:r>
        <w:rPr>
          <w:rFonts w:hint="eastAsia"/>
          <w:lang w:val="en-US" w:eastAsia="zh-CN"/>
        </w:rPr>
        <w:t>日</w:t>
      </w:r>
      <w:r>
        <w:rPr>
          <w:rFonts w:hint="eastAsia"/>
          <w:lang w:eastAsia="zh-CN"/>
        </w:rPr>
        <w:t>。</w:t>
      </w:r>
    </w:p>
  </w:endnote>
  <w:endnote w:id="29">
    <w:p w14:paraId="77601BD9">
      <w:pPr>
        <w:pStyle w:val="2"/>
        <w:snapToGrid w:val="0"/>
        <w:rPr>
          <w:rFonts w:hint="default" w:eastAsiaTheme="minorEastAsia"/>
          <w:lang w:val="en-US" w:eastAsia="zh-CN"/>
        </w:rPr>
      </w:pPr>
      <w:r>
        <w:rPr>
          <w:rStyle w:val="8"/>
        </w:rPr>
        <w:endnoteRef/>
      </w:r>
      <w:r>
        <w:t xml:space="preserve"> </w:t>
      </w:r>
      <w:r>
        <w:rPr>
          <w:rFonts w:hint="eastAsia"/>
        </w:rPr>
        <w:t>注释（</w:t>
      </w:r>
      <w:r>
        <w:rPr>
          <w:rFonts w:hint="eastAsia"/>
          <w:lang w:val="en-US" w:eastAsia="zh-CN"/>
        </w:rPr>
        <w:t>案例</w:t>
      </w:r>
      <w:r>
        <w:rPr>
          <w:rFonts w:hint="eastAsia"/>
        </w:rPr>
        <w:t>）：广东省阳江市江城区人民法院</w:t>
      </w:r>
      <w:r>
        <w:rPr>
          <w:rFonts w:hint="eastAsia"/>
          <w:lang w:eastAsia="zh-CN"/>
        </w:rPr>
        <w:t>：</w:t>
      </w:r>
      <w:r>
        <w:rPr>
          <w:rFonts w:hint="eastAsia"/>
        </w:rPr>
        <w:t>（2021）粤1702民初2931号</w:t>
      </w:r>
      <w:r>
        <w:rPr>
          <w:rFonts w:hint="eastAsia"/>
          <w:lang w:eastAsia="zh-CN"/>
        </w:rPr>
        <w:t>，株式会社多乐可（DORCOCO.,LTD.）</w:t>
      </w:r>
      <w:r>
        <w:rPr>
          <w:rFonts w:hint="eastAsia"/>
          <w:lang w:val="en-US" w:eastAsia="zh-CN"/>
        </w:rPr>
        <w:t>与阳江市江城区某商行侵害商标权纠纷</w:t>
      </w:r>
      <w:r>
        <w:rPr>
          <w:rFonts w:hint="eastAsia"/>
        </w:rPr>
        <w:t>案</w:t>
      </w:r>
      <w:r>
        <w:rPr>
          <w:rFonts w:hint="eastAsia"/>
          <w:lang w:val="en-US" w:eastAsia="zh-CN"/>
        </w:rPr>
        <w:t>民事判决。</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 w:id="60"/>
    <w:endnote w:id="6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zZjJhZTBhNTA0NjJjNzRjMzI0ZThlMmNjMjZhYTkifQ=="/>
  </w:docVars>
  <w:rsids>
    <w:rsidRoot w:val="00000000"/>
    <w:rsid w:val="00213CF6"/>
    <w:rsid w:val="009049D8"/>
    <w:rsid w:val="00B034C6"/>
    <w:rsid w:val="00C35BFD"/>
    <w:rsid w:val="01014E96"/>
    <w:rsid w:val="01326F3B"/>
    <w:rsid w:val="0147778C"/>
    <w:rsid w:val="01730582"/>
    <w:rsid w:val="01900F7C"/>
    <w:rsid w:val="01E07299"/>
    <w:rsid w:val="01E4322D"/>
    <w:rsid w:val="01F94D45"/>
    <w:rsid w:val="0206306B"/>
    <w:rsid w:val="025D767A"/>
    <w:rsid w:val="02651461"/>
    <w:rsid w:val="02BF77F6"/>
    <w:rsid w:val="032D20A7"/>
    <w:rsid w:val="03942A31"/>
    <w:rsid w:val="03AA4003"/>
    <w:rsid w:val="040C0819"/>
    <w:rsid w:val="041651F4"/>
    <w:rsid w:val="04642403"/>
    <w:rsid w:val="04854C0B"/>
    <w:rsid w:val="05017C52"/>
    <w:rsid w:val="054307C7"/>
    <w:rsid w:val="056205E5"/>
    <w:rsid w:val="05F911E1"/>
    <w:rsid w:val="063B3BDD"/>
    <w:rsid w:val="06F21F49"/>
    <w:rsid w:val="06F276B3"/>
    <w:rsid w:val="075174DC"/>
    <w:rsid w:val="079074C9"/>
    <w:rsid w:val="080818D7"/>
    <w:rsid w:val="0822685D"/>
    <w:rsid w:val="08713341"/>
    <w:rsid w:val="08B51480"/>
    <w:rsid w:val="08D02949"/>
    <w:rsid w:val="08DE4BF3"/>
    <w:rsid w:val="08E6788B"/>
    <w:rsid w:val="091A640F"/>
    <w:rsid w:val="092403B3"/>
    <w:rsid w:val="096E46F7"/>
    <w:rsid w:val="09B01C47"/>
    <w:rsid w:val="0A044046"/>
    <w:rsid w:val="0AB734AE"/>
    <w:rsid w:val="0AC44B3B"/>
    <w:rsid w:val="0B156206"/>
    <w:rsid w:val="0BCC755C"/>
    <w:rsid w:val="0BCD4D32"/>
    <w:rsid w:val="0C684A5B"/>
    <w:rsid w:val="0C6C43F7"/>
    <w:rsid w:val="0C965124"/>
    <w:rsid w:val="0CC04897"/>
    <w:rsid w:val="0CE66963"/>
    <w:rsid w:val="0CF02344"/>
    <w:rsid w:val="0D0A5723"/>
    <w:rsid w:val="0DE5138A"/>
    <w:rsid w:val="0E276595"/>
    <w:rsid w:val="0E2B5D40"/>
    <w:rsid w:val="0E4E5040"/>
    <w:rsid w:val="0E6A4ABA"/>
    <w:rsid w:val="0E8F43C2"/>
    <w:rsid w:val="0EB21FBD"/>
    <w:rsid w:val="0EBB5316"/>
    <w:rsid w:val="0ECD2CAC"/>
    <w:rsid w:val="0ECF4784"/>
    <w:rsid w:val="0F297ABE"/>
    <w:rsid w:val="0F5117D6"/>
    <w:rsid w:val="0F647FFD"/>
    <w:rsid w:val="0F6B4552"/>
    <w:rsid w:val="0FEE39D2"/>
    <w:rsid w:val="10173FAB"/>
    <w:rsid w:val="110E5BD1"/>
    <w:rsid w:val="113F7811"/>
    <w:rsid w:val="11515ABE"/>
    <w:rsid w:val="11851C0B"/>
    <w:rsid w:val="118F65E6"/>
    <w:rsid w:val="119D0D03"/>
    <w:rsid w:val="11A418E6"/>
    <w:rsid w:val="11AA5033"/>
    <w:rsid w:val="11F27D13"/>
    <w:rsid w:val="11F75CD4"/>
    <w:rsid w:val="120129E2"/>
    <w:rsid w:val="120945EA"/>
    <w:rsid w:val="121A2353"/>
    <w:rsid w:val="1222745A"/>
    <w:rsid w:val="12810624"/>
    <w:rsid w:val="12F15453"/>
    <w:rsid w:val="130422E3"/>
    <w:rsid w:val="130F5C30"/>
    <w:rsid w:val="13140A84"/>
    <w:rsid w:val="138E161F"/>
    <w:rsid w:val="139D4167"/>
    <w:rsid w:val="13AE406A"/>
    <w:rsid w:val="13D65BBB"/>
    <w:rsid w:val="13D80718"/>
    <w:rsid w:val="13DC25FC"/>
    <w:rsid w:val="13FD1F2D"/>
    <w:rsid w:val="1411239E"/>
    <w:rsid w:val="1413658B"/>
    <w:rsid w:val="142C56CF"/>
    <w:rsid w:val="147B3152"/>
    <w:rsid w:val="14BC3B96"/>
    <w:rsid w:val="14BE346A"/>
    <w:rsid w:val="150A5B57"/>
    <w:rsid w:val="15264CBF"/>
    <w:rsid w:val="15581B10"/>
    <w:rsid w:val="159D7523"/>
    <w:rsid w:val="15B825AF"/>
    <w:rsid w:val="1626576B"/>
    <w:rsid w:val="162D3FDB"/>
    <w:rsid w:val="16301EDC"/>
    <w:rsid w:val="16421E79"/>
    <w:rsid w:val="16E6314C"/>
    <w:rsid w:val="1700420E"/>
    <w:rsid w:val="172123D6"/>
    <w:rsid w:val="174B786E"/>
    <w:rsid w:val="17514A69"/>
    <w:rsid w:val="176A5B2B"/>
    <w:rsid w:val="1775022A"/>
    <w:rsid w:val="17836BED"/>
    <w:rsid w:val="17FD24FB"/>
    <w:rsid w:val="180513B0"/>
    <w:rsid w:val="181B2107"/>
    <w:rsid w:val="181E739D"/>
    <w:rsid w:val="18A64941"/>
    <w:rsid w:val="18F13E8A"/>
    <w:rsid w:val="19461C80"/>
    <w:rsid w:val="194D73B5"/>
    <w:rsid w:val="196547FC"/>
    <w:rsid w:val="198C7FDB"/>
    <w:rsid w:val="19A370D2"/>
    <w:rsid w:val="19C26D78"/>
    <w:rsid w:val="19E75211"/>
    <w:rsid w:val="1A46462D"/>
    <w:rsid w:val="1A4E4B9A"/>
    <w:rsid w:val="1ABC11CC"/>
    <w:rsid w:val="1ACB42A8"/>
    <w:rsid w:val="1AE45BF4"/>
    <w:rsid w:val="1AEB2ADF"/>
    <w:rsid w:val="1AFD2812"/>
    <w:rsid w:val="1B2F1FB1"/>
    <w:rsid w:val="1B3C4A90"/>
    <w:rsid w:val="1B4D6FA0"/>
    <w:rsid w:val="1B703C88"/>
    <w:rsid w:val="1BAA4BE2"/>
    <w:rsid w:val="1BB21914"/>
    <w:rsid w:val="1C0C5403"/>
    <w:rsid w:val="1CA57546"/>
    <w:rsid w:val="1CE30CA5"/>
    <w:rsid w:val="1D1D1DDC"/>
    <w:rsid w:val="1DF83E91"/>
    <w:rsid w:val="1E034014"/>
    <w:rsid w:val="1E0C56B6"/>
    <w:rsid w:val="1E764DB5"/>
    <w:rsid w:val="1E9D39E6"/>
    <w:rsid w:val="1EE04F0D"/>
    <w:rsid w:val="1F0050E4"/>
    <w:rsid w:val="1F775289"/>
    <w:rsid w:val="2059498F"/>
    <w:rsid w:val="20841123"/>
    <w:rsid w:val="21535882"/>
    <w:rsid w:val="21767760"/>
    <w:rsid w:val="21843C8D"/>
    <w:rsid w:val="219D08AB"/>
    <w:rsid w:val="222356B8"/>
    <w:rsid w:val="22DF73CD"/>
    <w:rsid w:val="22FA2E31"/>
    <w:rsid w:val="232148AD"/>
    <w:rsid w:val="2389558B"/>
    <w:rsid w:val="238B2CD4"/>
    <w:rsid w:val="23A777BF"/>
    <w:rsid w:val="23BA1BE8"/>
    <w:rsid w:val="23D20CE0"/>
    <w:rsid w:val="23D36E8E"/>
    <w:rsid w:val="2408454F"/>
    <w:rsid w:val="24134E54"/>
    <w:rsid w:val="243E66C2"/>
    <w:rsid w:val="246555E1"/>
    <w:rsid w:val="2489487E"/>
    <w:rsid w:val="24F15196"/>
    <w:rsid w:val="250824DF"/>
    <w:rsid w:val="25757B75"/>
    <w:rsid w:val="257B093E"/>
    <w:rsid w:val="260B04D9"/>
    <w:rsid w:val="26155688"/>
    <w:rsid w:val="263C7598"/>
    <w:rsid w:val="267A11BB"/>
    <w:rsid w:val="268169ED"/>
    <w:rsid w:val="2688703D"/>
    <w:rsid w:val="26C1503C"/>
    <w:rsid w:val="27054F28"/>
    <w:rsid w:val="271E5FEA"/>
    <w:rsid w:val="27572DEA"/>
    <w:rsid w:val="2758774E"/>
    <w:rsid w:val="27824335"/>
    <w:rsid w:val="27C04A9C"/>
    <w:rsid w:val="28742443"/>
    <w:rsid w:val="28B70E3C"/>
    <w:rsid w:val="290A2CCA"/>
    <w:rsid w:val="29194B03"/>
    <w:rsid w:val="295B0D23"/>
    <w:rsid w:val="298962E5"/>
    <w:rsid w:val="298A3E0B"/>
    <w:rsid w:val="29CE1F49"/>
    <w:rsid w:val="2A834AE2"/>
    <w:rsid w:val="2B616FA1"/>
    <w:rsid w:val="2B856F13"/>
    <w:rsid w:val="2CDA041C"/>
    <w:rsid w:val="2D4B685B"/>
    <w:rsid w:val="2D4F15F3"/>
    <w:rsid w:val="2D6329A9"/>
    <w:rsid w:val="2DAD1E76"/>
    <w:rsid w:val="2DD1116A"/>
    <w:rsid w:val="2DD15C9C"/>
    <w:rsid w:val="2E0C1292"/>
    <w:rsid w:val="2E1E210D"/>
    <w:rsid w:val="2E36545C"/>
    <w:rsid w:val="2E3F1B98"/>
    <w:rsid w:val="2E431AC3"/>
    <w:rsid w:val="2E600A5B"/>
    <w:rsid w:val="2E7806D6"/>
    <w:rsid w:val="2EAE2349"/>
    <w:rsid w:val="2EBA3FD2"/>
    <w:rsid w:val="2F2D326E"/>
    <w:rsid w:val="2F5051AF"/>
    <w:rsid w:val="2F713AA3"/>
    <w:rsid w:val="2F8F327D"/>
    <w:rsid w:val="2FB83480"/>
    <w:rsid w:val="2FF472FB"/>
    <w:rsid w:val="2FFC7BB4"/>
    <w:rsid w:val="301C4A53"/>
    <w:rsid w:val="30314FE0"/>
    <w:rsid w:val="30315CDC"/>
    <w:rsid w:val="304535E0"/>
    <w:rsid w:val="30661B74"/>
    <w:rsid w:val="308646DC"/>
    <w:rsid w:val="308B0B94"/>
    <w:rsid w:val="30D13698"/>
    <w:rsid w:val="31E0281A"/>
    <w:rsid w:val="3240150B"/>
    <w:rsid w:val="3268280F"/>
    <w:rsid w:val="327A02F8"/>
    <w:rsid w:val="32C23546"/>
    <w:rsid w:val="33831403"/>
    <w:rsid w:val="33A1247D"/>
    <w:rsid w:val="33A861DD"/>
    <w:rsid w:val="34163110"/>
    <w:rsid w:val="34421B20"/>
    <w:rsid w:val="34B00BC9"/>
    <w:rsid w:val="34DF325D"/>
    <w:rsid w:val="35702107"/>
    <w:rsid w:val="35940BA8"/>
    <w:rsid w:val="35E07F7D"/>
    <w:rsid w:val="35E90DEE"/>
    <w:rsid w:val="362058DB"/>
    <w:rsid w:val="364041CF"/>
    <w:rsid w:val="3682026F"/>
    <w:rsid w:val="372668B9"/>
    <w:rsid w:val="373D426B"/>
    <w:rsid w:val="37C404E8"/>
    <w:rsid w:val="37CB5D1A"/>
    <w:rsid w:val="38420BBA"/>
    <w:rsid w:val="384341A8"/>
    <w:rsid w:val="38657F1D"/>
    <w:rsid w:val="389820A0"/>
    <w:rsid w:val="39BD44BE"/>
    <w:rsid w:val="39DF718B"/>
    <w:rsid w:val="3A7D1FEA"/>
    <w:rsid w:val="3A8072A1"/>
    <w:rsid w:val="3AD91C84"/>
    <w:rsid w:val="3AF364B7"/>
    <w:rsid w:val="3B005CDB"/>
    <w:rsid w:val="3B69515A"/>
    <w:rsid w:val="3B7010B2"/>
    <w:rsid w:val="3B732948"/>
    <w:rsid w:val="3BE84876"/>
    <w:rsid w:val="3C5A58BF"/>
    <w:rsid w:val="3C7A740B"/>
    <w:rsid w:val="3CBD6CE2"/>
    <w:rsid w:val="3CFB2BFE"/>
    <w:rsid w:val="3D687B67"/>
    <w:rsid w:val="3D826D07"/>
    <w:rsid w:val="3E273A77"/>
    <w:rsid w:val="3E492731"/>
    <w:rsid w:val="3E4F646E"/>
    <w:rsid w:val="3EA42E21"/>
    <w:rsid w:val="3EC31134"/>
    <w:rsid w:val="3ED75308"/>
    <w:rsid w:val="3F2A1578"/>
    <w:rsid w:val="3F3F6F12"/>
    <w:rsid w:val="3F5F3233"/>
    <w:rsid w:val="3F6E5909"/>
    <w:rsid w:val="3FE67E2F"/>
    <w:rsid w:val="4004001B"/>
    <w:rsid w:val="400E729C"/>
    <w:rsid w:val="40200B9E"/>
    <w:rsid w:val="40330901"/>
    <w:rsid w:val="403E2E27"/>
    <w:rsid w:val="404E089B"/>
    <w:rsid w:val="406B3BF6"/>
    <w:rsid w:val="409A0980"/>
    <w:rsid w:val="40D03AFA"/>
    <w:rsid w:val="40D20119"/>
    <w:rsid w:val="411424E0"/>
    <w:rsid w:val="41214BFD"/>
    <w:rsid w:val="416C184A"/>
    <w:rsid w:val="41B25C9F"/>
    <w:rsid w:val="41C2018E"/>
    <w:rsid w:val="41F63994"/>
    <w:rsid w:val="41F8770C"/>
    <w:rsid w:val="42290E73"/>
    <w:rsid w:val="422F6EA6"/>
    <w:rsid w:val="42306817"/>
    <w:rsid w:val="423F358D"/>
    <w:rsid w:val="42440BA3"/>
    <w:rsid w:val="4262307D"/>
    <w:rsid w:val="42A824D5"/>
    <w:rsid w:val="42A9378E"/>
    <w:rsid w:val="42C438ED"/>
    <w:rsid w:val="42E83C16"/>
    <w:rsid w:val="43072E5B"/>
    <w:rsid w:val="43DA6B22"/>
    <w:rsid w:val="43E6115A"/>
    <w:rsid w:val="43F9776B"/>
    <w:rsid w:val="442073EE"/>
    <w:rsid w:val="44507440"/>
    <w:rsid w:val="446303EC"/>
    <w:rsid w:val="447119F7"/>
    <w:rsid w:val="447F5DD9"/>
    <w:rsid w:val="44965591"/>
    <w:rsid w:val="44E623E5"/>
    <w:rsid w:val="44F34BE1"/>
    <w:rsid w:val="45014B29"/>
    <w:rsid w:val="452139A6"/>
    <w:rsid w:val="452A0524"/>
    <w:rsid w:val="453170D2"/>
    <w:rsid w:val="45655E6B"/>
    <w:rsid w:val="456D0411"/>
    <w:rsid w:val="45AF4585"/>
    <w:rsid w:val="45BC6CA2"/>
    <w:rsid w:val="460C5E7C"/>
    <w:rsid w:val="46364CA7"/>
    <w:rsid w:val="463D6A5B"/>
    <w:rsid w:val="464473C4"/>
    <w:rsid w:val="4647727E"/>
    <w:rsid w:val="46A04AA9"/>
    <w:rsid w:val="46E464B1"/>
    <w:rsid w:val="473A1F72"/>
    <w:rsid w:val="475E7DF6"/>
    <w:rsid w:val="477E6905"/>
    <w:rsid w:val="47E744AA"/>
    <w:rsid w:val="482B265C"/>
    <w:rsid w:val="483B2FDA"/>
    <w:rsid w:val="487B2E45"/>
    <w:rsid w:val="48B61459"/>
    <w:rsid w:val="48B87BF5"/>
    <w:rsid w:val="48E44E8E"/>
    <w:rsid w:val="49137521"/>
    <w:rsid w:val="49403C08"/>
    <w:rsid w:val="49CD147E"/>
    <w:rsid w:val="4A021220"/>
    <w:rsid w:val="4A113A61"/>
    <w:rsid w:val="4A321D70"/>
    <w:rsid w:val="4A5D4EF8"/>
    <w:rsid w:val="4A9A5331"/>
    <w:rsid w:val="4AE86CFA"/>
    <w:rsid w:val="4B3C2D5F"/>
    <w:rsid w:val="4B563372"/>
    <w:rsid w:val="4BCF3BD3"/>
    <w:rsid w:val="4BDE2763"/>
    <w:rsid w:val="4BDE3E16"/>
    <w:rsid w:val="4C387DF4"/>
    <w:rsid w:val="4CD11285"/>
    <w:rsid w:val="4CFA4C80"/>
    <w:rsid w:val="4D1D3051"/>
    <w:rsid w:val="4D724A1E"/>
    <w:rsid w:val="4D8E7176"/>
    <w:rsid w:val="4D99450A"/>
    <w:rsid w:val="4DAD3AA0"/>
    <w:rsid w:val="4DB36BDD"/>
    <w:rsid w:val="4DBB1AD3"/>
    <w:rsid w:val="4DF06861"/>
    <w:rsid w:val="4E094A4F"/>
    <w:rsid w:val="4E17716C"/>
    <w:rsid w:val="4EF80C1C"/>
    <w:rsid w:val="4F0F05FD"/>
    <w:rsid w:val="4F1D2EA8"/>
    <w:rsid w:val="4F366C62"/>
    <w:rsid w:val="4F3E485A"/>
    <w:rsid w:val="4F530677"/>
    <w:rsid w:val="4F7E1A87"/>
    <w:rsid w:val="4F980780"/>
    <w:rsid w:val="4FA90414"/>
    <w:rsid w:val="4FB00503"/>
    <w:rsid w:val="4FBF16A1"/>
    <w:rsid w:val="50257B2F"/>
    <w:rsid w:val="5083613E"/>
    <w:rsid w:val="508B5BEF"/>
    <w:rsid w:val="50B61D2A"/>
    <w:rsid w:val="51181B78"/>
    <w:rsid w:val="512562C1"/>
    <w:rsid w:val="51597A9B"/>
    <w:rsid w:val="5160707C"/>
    <w:rsid w:val="51B82A14"/>
    <w:rsid w:val="52100AA2"/>
    <w:rsid w:val="5212481A"/>
    <w:rsid w:val="524A72E4"/>
    <w:rsid w:val="524B1ADA"/>
    <w:rsid w:val="52891B7E"/>
    <w:rsid w:val="52DE46FC"/>
    <w:rsid w:val="531719BC"/>
    <w:rsid w:val="53426A39"/>
    <w:rsid w:val="53590226"/>
    <w:rsid w:val="538C7A30"/>
    <w:rsid w:val="539B25ED"/>
    <w:rsid w:val="53A04DAC"/>
    <w:rsid w:val="53A5521A"/>
    <w:rsid w:val="53B10062"/>
    <w:rsid w:val="53C20718"/>
    <w:rsid w:val="53DB482B"/>
    <w:rsid w:val="53E73A84"/>
    <w:rsid w:val="53F57F4F"/>
    <w:rsid w:val="53FF2B7C"/>
    <w:rsid w:val="549143E1"/>
    <w:rsid w:val="54B41BB8"/>
    <w:rsid w:val="54CE6966"/>
    <w:rsid w:val="54EB3100"/>
    <w:rsid w:val="55254864"/>
    <w:rsid w:val="5528524E"/>
    <w:rsid w:val="553625CD"/>
    <w:rsid w:val="553F7AAA"/>
    <w:rsid w:val="555111B5"/>
    <w:rsid w:val="557C1FAA"/>
    <w:rsid w:val="55DF4A13"/>
    <w:rsid w:val="55E91DEC"/>
    <w:rsid w:val="55F3683A"/>
    <w:rsid w:val="562E2870"/>
    <w:rsid w:val="5633540E"/>
    <w:rsid w:val="5651115B"/>
    <w:rsid w:val="57050A24"/>
    <w:rsid w:val="57A26B81"/>
    <w:rsid w:val="57AE05F5"/>
    <w:rsid w:val="57BA3C16"/>
    <w:rsid w:val="57CC546B"/>
    <w:rsid w:val="57DD31D4"/>
    <w:rsid w:val="583103BB"/>
    <w:rsid w:val="584B2834"/>
    <w:rsid w:val="58977827"/>
    <w:rsid w:val="58AA58D0"/>
    <w:rsid w:val="58BB5497"/>
    <w:rsid w:val="58DD36E9"/>
    <w:rsid w:val="590D1054"/>
    <w:rsid w:val="592A069B"/>
    <w:rsid w:val="59895314"/>
    <w:rsid w:val="59B60181"/>
    <w:rsid w:val="59D16D68"/>
    <w:rsid w:val="5A0A04CC"/>
    <w:rsid w:val="5A113609"/>
    <w:rsid w:val="5A114E53"/>
    <w:rsid w:val="5A27043F"/>
    <w:rsid w:val="5A2A50B9"/>
    <w:rsid w:val="5B104291"/>
    <w:rsid w:val="5B2C196C"/>
    <w:rsid w:val="5B345801"/>
    <w:rsid w:val="5BA7240A"/>
    <w:rsid w:val="5C0304F1"/>
    <w:rsid w:val="5C6B5E3B"/>
    <w:rsid w:val="5C6F4617"/>
    <w:rsid w:val="5C9D2F32"/>
    <w:rsid w:val="5CAD4087"/>
    <w:rsid w:val="5CCF011E"/>
    <w:rsid w:val="5CEB1D65"/>
    <w:rsid w:val="5CFE3653"/>
    <w:rsid w:val="5D3F66DF"/>
    <w:rsid w:val="5D5A2CC2"/>
    <w:rsid w:val="5E543CA3"/>
    <w:rsid w:val="5E7F34CF"/>
    <w:rsid w:val="5EAA5DDA"/>
    <w:rsid w:val="5EC62C14"/>
    <w:rsid w:val="5ECA7FB6"/>
    <w:rsid w:val="5F003E3C"/>
    <w:rsid w:val="5F196D9D"/>
    <w:rsid w:val="5F7A8E16"/>
    <w:rsid w:val="5F855664"/>
    <w:rsid w:val="5F950838"/>
    <w:rsid w:val="5FF732A1"/>
    <w:rsid w:val="6020564F"/>
    <w:rsid w:val="6028345A"/>
    <w:rsid w:val="60A46301"/>
    <w:rsid w:val="60BD3BA3"/>
    <w:rsid w:val="60CA62C0"/>
    <w:rsid w:val="60D94755"/>
    <w:rsid w:val="611D6D37"/>
    <w:rsid w:val="612B3202"/>
    <w:rsid w:val="61355E2F"/>
    <w:rsid w:val="615F17FF"/>
    <w:rsid w:val="61790C49"/>
    <w:rsid w:val="61A44D62"/>
    <w:rsid w:val="61DA565F"/>
    <w:rsid w:val="62353C0D"/>
    <w:rsid w:val="628726BA"/>
    <w:rsid w:val="628C5F22"/>
    <w:rsid w:val="629B43B7"/>
    <w:rsid w:val="63770981"/>
    <w:rsid w:val="63906679"/>
    <w:rsid w:val="63CB2A7A"/>
    <w:rsid w:val="641B0BF7"/>
    <w:rsid w:val="643B72D2"/>
    <w:rsid w:val="64432611"/>
    <w:rsid w:val="645706A8"/>
    <w:rsid w:val="64977339"/>
    <w:rsid w:val="65046244"/>
    <w:rsid w:val="65340CD9"/>
    <w:rsid w:val="65342AB6"/>
    <w:rsid w:val="65680839"/>
    <w:rsid w:val="65850CB8"/>
    <w:rsid w:val="659C24C3"/>
    <w:rsid w:val="659C46CE"/>
    <w:rsid w:val="66246F63"/>
    <w:rsid w:val="662B7800"/>
    <w:rsid w:val="6639539F"/>
    <w:rsid w:val="66E17BA1"/>
    <w:rsid w:val="67087B42"/>
    <w:rsid w:val="67430B7A"/>
    <w:rsid w:val="675D2A1E"/>
    <w:rsid w:val="67697E63"/>
    <w:rsid w:val="676E52FE"/>
    <w:rsid w:val="677718E6"/>
    <w:rsid w:val="67B9644C"/>
    <w:rsid w:val="67CB129B"/>
    <w:rsid w:val="67D24431"/>
    <w:rsid w:val="67E759A9"/>
    <w:rsid w:val="67F0485E"/>
    <w:rsid w:val="67F81F7E"/>
    <w:rsid w:val="68190258"/>
    <w:rsid w:val="69117181"/>
    <w:rsid w:val="691D11F3"/>
    <w:rsid w:val="69222AC7"/>
    <w:rsid w:val="693B7D5A"/>
    <w:rsid w:val="69482477"/>
    <w:rsid w:val="695D5F23"/>
    <w:rsid w:val="697272B2"/>
    <w:rsid w:val="69901FCA"/>
    <w:rsid w:val="6A4E5537"/>
    <w:rsid w:val="6A505A87"/>
    <w:rsid w:val="6A6D2696"/>
    <w:rsid w:val="6AA1779A"/>
    <w:rsid w:val="6ABD07F1"/>
    <w:rsid w:val="6B014FD4"/>
    <w:rsid w:val="6B1653E2"/>
    <w:rsid w:val="6B2021C6"/>
    <w:rsid w:val="6B5C220A"/>
    <w:rsid w:val="6B680BAF"/>
    <w:rsid w:val="6B79100E"/>
    <w:rsid w:val="6BAB6F3F"/>
    <w:rsid w:val="6BCA186A"/>
    <w:rsid w:val="6BD66460"/>
    <w:rsid w:val="6BF643D8"/>
    <w:rsid w:val="6C04099E"/>
    <w:rsid w:val="6C3510DC"/>
    <w:rsid w:val="6C3E20D6"/>
    <w:rsid w:val="6C4B0E3E"/>
    <w:rsid w:val="6C4E6837"/>
    <w:rsid w:val="6C735D8E"/>
    <w:rsid w:val="6C841A18"/>
    <w:rsid w:val="6CD52274"/>
    <w:rsid w:val="6CFB656C"/>
    <w:rsid w:val="6D400035"/>
    <w:rsid w:val="6D415B5B"/>
    <w:rsid w:val="6D485A39"/>
    <w:rsid w:val="6D874D7F"/>
    <w:rsid w:val="6DA06BCC"/>
    <w:rsid w:val="6DCA139F"/>
    <w:rsid w:val="6DD411E7"/>
    <w:rsid w:val="6E4C60A3"/>
    <w:rsid w:val="6EA4499D"/>
    <w:rsid w:val="6EB72579"/>
    <w:rsid w:val="6EF42A20"/>
    <w:rsid w:val="6F636421"/>
    <w:rsid w:val="6F6B5112"/>
    <w:rsid w:val="6F9C08DE"/>
    <w:rsid w:val="702C664F"/>
    <w:rsid w:val="7053007F"/>
    <w:rsid w:val="707F70C6"/>
    <w:rsid w:val="71834994"/>
    <w:rsid w:val="71DE7000"/>
    <w:rsid w:val="72231FA8"/>
    <w:rsid w:val="7251239D"/>
    <w:rsid w:val="726166AA"/>
    <w:rsid w:val="72710C91"/>
    <w:rsid w:val="72BA3690"/>
    <w:rsid w:val="72D32F00"/>
    <w:rsid w:val="72D5552D"/>
    <w:rsid w:val="730833A3"/>
    <w:rsid w:val="73AD7AA7"/>
    <w:rsid w:val="74335059"/>
    <w:rsid w:val="7441157D"/>
    <w:rsid w:val="74A032D4"/>
    <w:rsid w:val="74D15A17"/>
    <w:rsid w:val="75287D2D"/>
    <w:rsid w:val="75330452"/>
    <w:rsid w:val="75D67789"/>
    <w:rsid w:val="763175F6"/>
    <w:rsid w:val="76780840"/>
    <w:rsid w:val="76C75323"/>
    <w:rsid w:val="76D96E05"/>
    <w:rsid w:val="771816DB"/>
    <w:rsid w:val="772E53A2"/>
    <w:rsid w:val="773A3D47"/>
    <w:rsid w:val="773C7ABF"/>
    <w:rsid w:val="776F1462"/>
    <w:rsid w:val="777C7EBC"/>
    <w:rsid w:val="77A56DDC"/>
    <w:rsid w:val="77FF289B"/>
    <w:rsid w:val="78780EC8"/>
    <w:rsid w:val="78A23952"/>
    <w:rsid w:val="790C34C1"/>
    <w:rsid w:val="793B5B55"/>
    <w:rsid w:val="796F0DE3"/>
    <w:rsid w:val="79A350C4"/>
    <w:rsid w:val="79C96913"/>
    <w:rsid w:val="79E1494E"/>
    <w:rsid w:val="79E425FF"/>
    <w:rsid w:val="7A1A39BC"/>
    <w:rsid w:val="7AA7568D"/>
    <w:rsid w:val="7AC0190F"/>
    <w:rsid w:val="7AD65B35"/>
    <w:rsid w:val="7B7575B3"/>
    <w:rsid w:val="7BCE4A5E"/>
    <w:rsid w:val="7BF32717"/>
    <w:rsid w:val="7C6529AE"/>
    <w:rsid w:val="7C8B6195"/>
    <w:rsid w:val="7CC0084B"/>
    <w:rsid w:val="7DD86DC5"/>
    <w:rsid w:val="7E1953B6"/>
    <w:rsid w:val="7E327526"/>
    <w:rsid w:val="7E4D0364"/>
    <w:rsid w:val="7E5F7375"/>
    <w:rsid w:val="7F2350C1"/>
    <w:rsid w:val="7F2A46A1"/>
    <w:rsid w:val="7F3E639F"/>
    <w:rsid w:val="7F4A4D43"/>
    <w:rsid w:val="7F596D35"/>
    <w:rsid w:val="7F6D7A15"/>
    <w:rsid w:val="7FA82306"/>
    <w:rsid w:val="7FBA072D"/>
    <w:rsid w:val="7FC15DA7"/>
    <w:rsid w:val="F8378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endnote text"/>
    <w:basedOn w:val="1"/>
    <w:qFormat/>
    <w:uiPriority w:val="0"/>
    <w:pPr>
      <w:snapToGrid w:val="0"/>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qFormat/>
    <w:uiPriority w:val="0"/>
    <w:pPr>
      <w:snapToGrid w:val="0"/>
      <w:jc w:val="left"/>
    </w:pPr>
    <w:rPr>
      <w:sz w:val="18"/>
    </w:rPr>
  </w:style>
  <w:style w:type="character" w:styleId="8">
    <w:name w:val="endnote reference"/>
    <w:basedOn w:val="7"/>
    <w:qFormat/>
    <w:uiPriority w:val="0"/>
    <w:rPr>
      <w:vertAlign w:val="superscript"/>
    </w:rPr>
  </w:style>
  <w:style w:type="character" w:styleId="9">
    <w:name w:val="Emphasis"/>
    <w:basedOn w:val="7"/>
    <w:qFormat/>
    <w:uiPriority w:val="0"/>
    <w:rPr>
      <w:i/>
    </w:rPr>
  </w:style>
  <w:style w:type="character" w:styleId="10">
    <w:name w:val="Hyperlink"/>
    <w:basedOn w:val="7"/>
    <w:qFormat/>
    <w:uiPriority w:val="0"/>
    <w:rPr>
      <w:color w:val="0000FF"/>
      <w:u w:val="single"/>
    </w:rPr>
  </w:style>
  <w:style w:type="character" w:styleId="11">
    <w:name w:val="footnote reference"/>
    <w:basedOn w:val="7"/>
    <w:qFormat/>
    <w:uiPriority w:val="0"/>
    <w:rPr>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endnotes" Target="end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9335</Words>
  <Characters>9427</Characters>
  <Lines>0</Lines>
  <Paragraphs>0</Paragraphs>
  <TotalTime>3</TotalTime>
  <ScaleCrop>false</ScaleCrop>
  <LinksUpToDate>false</LinksUpToDate>
  <CharactersWithSpaces>9443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2024-06-19T00:19:00Z</dcterms:created>
  <dc:creator>Lenovo</dc:creator>
  <cp:lastModifiedBy>张寂荧</cp:lastModifiedBy>
  <dcterms:modified xsi:type="dcterms:W3CDTF">2024-08-06T07:05:43Z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CBC9A9D5C27347F4A88D40E88D07B2F7_12</vt:lpwstr>
  </property>
</Properties>
</file>