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7906B">
      <w:pPr>
        <w:pStyle w:val="2"/>
        <w:keepNext w:val="0"/>
        <w:keepLines w:val="0"/>
        <w:pageBreakBefore w:val="0"/>
        <w:widowControl/>
        <w:kinsoku/>
        <w:wordWrap/>
        <w:overflowPunct/>
        <w:topLinePunct w:val="0"/>
        <w:autoSpaceDE/>
        <w:autoSpaceDN/>
        <w:bidi w:val="0"/>
        <w:adjustRightInd/>
        <w:snapToGrid/>
        <w:spacing w:before="340" w:beforeAutospacing="0" w:afterAutospacing="0" w:line="579" w:lineRule="auto"/>
        <w:ind w:left="0" w:leftChars="0" w:right="0" w:rightChars="0" w:firstLine="0" w:firstLineChars="0"/>
        <w:jc w:val="center"/>
        <w:textAlignment w:val="auto"/>
        <w:rPr>
          <w:rFonts w:hint="eastAsia" w:ascii="Times New Roman" w:hAnsi="宋体" w:eastAsia="黑体" w:cs="宋体"/>
          <w:b/>
          <w:color w:val="auto"/>
          <w:sz w:val="36"/>
          <w:szCs w:val="44"/>
          <w:lang w:val="en-US" w:eastAsia="zh-CN"/>
        </w:rPr>
      </w:pPr>
      <w:r>
        <w:rPr>
          <w:rFonts w:hint="eastAsia" w:ascii="宋体" w:hAnsi="宋体" w:eastAsia="宋体" w:cs="宋体"/>
          <w:b/>
          <w:color w:val="auto"/>
          <w:sz w:val="44"/>
          <w:szCs w:val="44"/>
        </w:rPr>
        <w:t>二手车</w:t>
      </w:r>
      <w:r>
        <w:rPr>
          <w:rFonts w:hint="eastAsia" w:ascii="宋体" w:hAnsi="宋体" w:eastAsia="宋体" w:cs="宋体"/>
          <w:b/>
          <w:color w:val="auto"/>
          <w:sz w:val="44"/>
          <w:szCs w:val="44"/>
          <w:lang w:val="en-US" w:eastAsia="zh-CN"/>
        </w:rPr>
        <w:t>交易</w:t>
      </w:r>
      <w:r>
        <w:rPr>
          <w:rFonts w:hint="eastAsia" w:ascii="宋体" w:hAnsi="宋体" w:eastAsia="宋体" w:cs="宋体"/>
          <w:b/>
          <w:color w:val="auto"/>
          <w:sz w:val="44"/>
          <w:szCs w:val="44"/>
        </w:rPr>
        <w:t>纠纷</w:t>
      </w:r>
      <w:r>
        <w:rPr>
          <w:rFonts w:hint="eastAsia" w:ascii="宋体" w:hAnsi="宋体" w:eastAsia="宋体" w:cs="宋体"/>
          <w:b/>
          <w:color w:val="auto"/>
          <w:sz w:val="44"/>
          <w:szCs w:val="44"/>
          <w:lang w:val="en-US" w:eastAsia="zh-CN"/>
        </w:rPr>
        <w:t>中经营者欺诈行为的认定</w:t>
      </w:r>
    </w:p>
    <w:p w14:paraId="7DECAE18">
      <w:pPr>
        <w:pStyle w:val="2"/>
        <w:keepNext w:val="0"/>
        <w:keepLines w:val="0"/>
        <w:pageBreakBefore w:val="0"/>
        <w:widowControl/>
        <w:kinsoku/>
        <w:wordWrap/>
        <w:overflowPunct/>
        <w:topLinePunct w:val="0"/>
        <w:autoSpaceDE/>
        <w:autoSpaceDN/>
        <w:bidi w:val="0"/>
        <w:adjustRightInd/>
        <w:snapToGrid/>
        <w:spacing w:before="100" w:beforeAutospacing="0" w:after="90" w:afterAutospacing="0" w:line="579" w:lineRule="auto"/>
        <w:ind w:left="0" w:leftChars="0" w:right="0" w:rightChars="0" w:firstLine="0" w:firstLineChars="0"/>
        <w:jc w:val="right"/>
        <w:textAlignment w:val="auto"/>
        <w:rPr>
          <w:rFonts w:hint="default" w:ascii="Times New Roman" w:hAnsi="宋体" w:eastAsia="黑体" w:cs="宋体"/>
          <w:b/>
          <w:color w:val="auto"/>
          <w:sz w:val="28"/>
          <w:szCs w:val="36"/>
          <w:lang w:val="en-US" w:eastAsia="zh-CN"/>
        </w:rPr>
      </w:pPr>
      <w:r>
        <w:rPr>
          <w:rFonts w:hint="eastAsia" w:ascii="Times New Roman" w:hAnsi="宋体" w:eastAsia="黑体" w:cs="宋体"/>
          <w:b/>
          <w:color w:val="auto"/>
          <w:sz w:val="28"/>
          <w:szCs w:val="36"/>
          <w:lang w:eastAsia="zh-CN"/>
        </w:rPr>
        <w:t>——</w:t>
      </w:r>
      <w:r>
        <w:rPr>
          <w:rFonts w:hint="eastAsia" w:ascii="Times New Roman" w:hAnsi="宋体" w:eastAsia="黑体" w:cs="宋体"/>
          <w:b/>
          <w:color w:val="auto"/>
          <w:sz w:val="28"/>
          <w:szCs w:val="36"/>
          <w:lang w:val="en-US" w:eastAsia="zh-CN"/>
        </w:rPr>
        <w:t>基于168份浙江省裁判文书的分析</w:t>
      </w:r>
    </w:p>
    <w:p w14:paraId="34831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szCs w:val="28"/>
          <w:lang w:val="en-US" w:eastAsia="zh-CN"/>
        </w:rPr>
      </w:pPr>
      <w:r>
        <w:rPr>
          <w:rFonts w:hint="eastAsia" w:ascii="仿宋" w:hAnsi="仿宋" w:eastAsia="仿宋" w:cs="仿宋"/>
          <w:b/>
          <w:i w:val="0"/>
          <w:sz w:val="28"/>
          <w:szCs w:val="28"/>
          <w:lang w:val="en-US" w:eastAsia="zh-CN"/>
        </w:rPr>
        <w:t>摘要：</w:t>
      </w:r>
      <w:r>
        <w:rPr>
          <w:rFonts w:hint="eastAsia" w:ascii="仿宋" w:hAnsi="仿宋" w:eastAsia="仿宋" w:cs="仿宋"/>
          <w:b w:val="0"/>
          <w:i w:val="0"/>
          <w:sz w:val="28"/>
          <w:szCs w:val="28"/>
          <w:lang w:val="en-US" w:eastAsia="zh-CN"/>
        </w:rPr>
        <w:t>汽车产业是我国国民经济的重要支柱，随着市场经济的不断发展，汽车成为了促进销费、扩大内需的重点领域，二手车市场交易规模在近十年中也取得了较大提升，</w:t>
      </w:r>
      <w:r>
        <w:rPr>
          <w:rFonts w:hint="eastAsia" w:ascii="仿宋" w:hAnsi="仿宋" w:eastAsia="仿宋" w:cs="仿宋"/>
          <w:b w:val="0"/>
          <w:i w:val="0"/>
          <w:sz w:val="28"/>
          <w:szCs w:val="28"/>
          <w:highlight w:val="none"/>
          <w:lang w:val="en-US" w:eastAsia="zh-CN"/>
        </w:rPr>
        <w:t>交易量从2014年的506万辆跃升至2023年的1841万辆，实现了三倍增长</w:t>
      </w:r>
      <w:r>
        <w:rPr>
          <w:rStyle w:val="12"/>
          <w:rFonts w:hint="eastAsia" w:ascii="仿宋" w:hAnsi="仿宋" w:eastAsia="仿宋" w:cs="仿宋"/>
          <w:b w:val="0"/>
          <w:i w:val="0"/>
          <w:sz w:val="28"/>
          <w:szCs w:val="28"/>
          <w:highlight w:val="none"/>
          <w:lang w:val="en-US" w:eastAsia="zh-CN"/>
        </w:rPr>
        <w:endnoteReference w:id="0"/>
      </w:r>
      <w:r>
        <w:rPr>
          <w:rFonts w:hint="eastAsia" w:ascii="仿宋" w:hAnsi="仿宋" w:eastAsia="仿宋" w:cs="仿宋"/>
          <w:b w:val="0"/>
          <w:i w:val="0"/>
          <w:sz w:val="28"/>
          <w:szCs w:val="28"/>
          <w:lang w:val="en-US" w:eastAsia="zh-CN"/>
        </w:rPr>
        <w:t>。因汽车生产存在专业化、标准化等特点，以及二手车行业相关法律法规并不完善，未形成成熟的市场体</w:t>
      </w:r>
      <w:r>
        <w:rPr>
          <w:rFonts w:hint="eastAsia" w:ascii="仿宋" w:hAnsi="仿宋" w:eastAsia="仿宋" w:cs="仿宋"/>
          <w:b w:val="0"/>
          <w:i w:val="0"/>
          <w:sz w:val="28"/>
          <w:szCs w:val="28"/>
          <w:u w:val="none"/>
          <w:lang w:val="en-US" w:eastAsia="zh-CN"/>
        </w:rPr>
        <w:t>系，经营者与消费者在二手车交易中容易形成信息差，致使二手车买卖合同类纠纷层出不穷。</w:t>
      </w:r>
      <w:r>
        <w:rPr>
          <w:rFonts w:hint="eastAsia" w:ascii="仿宋" w:hAnsi="仿宋" w:eastAsia="仿宋" w:cs="仿宋"/>
          <w:b w:val="0"/>
          <w:i w:val="0"/>
          <w:sz w:val="28"/>
          <w:szCs w:val="28"/>
          <w:lang w:val="en-US" w:eastAsia="zh-CN"/>
        </w:rPr>
        <w:t>本文以2020年1月1日至2024年7月24日浙</w:t>
      </w:r>
      <w:r>
        <w:rPr>
          <w:rFonts w:hint="eastAsia" w:ascii="仿宋" w:hAnsi="仿宋" w:eastAsia="仿宋" w:cs="仿宋"/>
          <w:b w:val="0"/>
          <w:i w:val="0"/>
          <w:sz w:val="28"/>
          <w:szCs w:val="28"/>
          <w:highlight w:val="none"/>
          <w:lang w:val="en-US" w:eastAsia="zh-CN"/>
        </w:rPr>
        <w:t>江省168份二</w:t>
      </w:r>
      <w:r>
        <w:rPr>
          <w:rFonts w:hint="eastAsia" w:ascii="仿宋" w:hAnsi="仿宋" w:eastAsia="仿宋" w:cs="仿宋"/>
          <w:b w:val="0"/>
          <w:i w:val="0"/>
          <w:sz w:val="28"/>
          <w:szCs w:val="28"/>
          <w:lang w:val="en-US" w:eastAsia="zh-CN"/>
        </w:rPr>
        <w:t>手车买卖合同纠纷案例为样本，从经营者角度，分析二手车行业交易惯例与司法鉴定领域的认识偏差，探讨经营者告知义务的界定，从而影响司法实践中法院对经营者欺诈行为的认定，研究二手车经营者如何规范交易行为并提出建议，</w:t>
      </w:r>
      <w:r>
        <w:rPr>
          <w:rFonts w:hint="eastAsia" w:ascii="仿宋" w:hAnsi="仿宋" w:eastAsia="仿宋" w:cs="仿宋"/>
          <w:b w:val="0"/>
          <w:i w:val="0"/>
          <w:sz w:val="28"/>
          <w:szCs w:val="28"/>
          <w:highlight w:val="none"/>
          <w:lang w:val="en-US" w:eastAsia="zh-CN"/>
        </w:rPr>
        <w:t>为推动促进二手车交易市场进入高质量发展新阶段提供重要实践意义。</w:t>
      </w:r>
    </w:p>
    <w:p w14:paraId="5BDEF0F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szCs w:val="28"/>
          <w:lang w:val="en-US" w:eastAsia="zh-CN"/>
        </w:rPr>
      </w:pPr>
      <w:r>
        <w:rPr>
          <w:rFonts w:hint="eastAsia" w:ascii="仿宋" w:hAnsi="仿宋" w:eastAsia="仿宋" w:cs="仿宋"/>
          <w:b/>
          <w:i w:val="0"/>
          <w:sz w:val="28"/>
          <w:szCs w:val="28"/>
          <w:lang w:val="en-US" w:eastAsia="zh-CN"/>
        </w:rPr>
        <w:t>关键词：</w:t>
      </w:r>
      <w:r>
        <w:rPr>
          <w:rFonts w:hint="eastAsia" w:ascii="仿宋" w:hAnsi="仿宋" w:eastAsia="仿宋" w:cs="仿宋"/>
          <w:b w:val="0"/>
          <w:i w:val="0"/>
          <w:sz w:val="28"/>
          <w:szCs w:val="28"/>
          <w:lang w:val="en-US" w:eastAsia="zh-CN"/>
        </w:rPr>
        <w:t>二手车；经营者；事故车；欺诈认定</w:t>
      </w:r>
    </w:p>
    <w:p w14:paraId="51D34C55">
      <w:pPr>
        <w:pStyle w:val="14"/>
        <w:keepNext w:val="0"/>
        <w:keepLines w:val="0"/>
        <w:pageBreakBefore w:val="0"/>
        <w:numPr>
          <w:ilvl w:val="0"/>
          <w:numId w:val="0"/>
        </w:numPr>
        <w:kinsoku/>
        <w:wordWrap/>
        <w:overflowPunct/>
        <w:topLinePunct w:val="0"/>
        <w:autoSpaceDE/>
        <w:autoSpaceDN/>
        <w:bidi w:val="0"/>
        <w:adjustRightInd/>
        <w:snapToGrid/>
        <w:spacing w:line="400" w:lineRule="exact"/>
        <w:ind w:left="-200" w:leftChars="0"/>
        <w:textAlignment w:val="auto"/>
        <w:rPr>
          <w:rFonts w:hint="eastAsia" w:ascii="微软雅黑" w:hAnsi="微软雅黑" w:eastAsia="微软雅黑" w:cs="微软雅黑"/>
          <w:sz w:val="20"/>
          <w:szCs w:val="20"/>
          <w:lang w:val="en-US" w:eastAsia="zh-CN"/>
        </w:rPr>
      </w:pPr>
    </w:p>
    <w:p w14:paraId="4D30E5E3">
      <w:pPr>
        <w:pStyle w:val="14"/>
        <w:keepNext w:val="0"/>
        <w:keepLines w:val="0"/>
        <w:pageBreakBefore w:val="0"/>
        <w:numPr>
          <w:ilvl w:val="0"/>
          <w:numId w:val="2"/>
        </w:numPr>
        <w:kinsoku/>
        <w:wordWrap/>
        <w:overflowPunct/>
        <w:topLinePunct w:val="0"/>
        <w:autoSpaceDE/>
        <w:autoSpaceDN/>
        <w:bidi w:val="0"/>
        <w:adjustRightInd/>
        <w:snapToGrid/>
        <w:spacing w:before="340" w:beforeAutospacing="0" w:after="330" w:afterAutospacing="0" w:line="578" w:lineRule="auto"/>
        <w:ind w:left="0" w:leftChars="0" w:right="0" w:rightChars="0" w:firstLine="0" w:firstLineChars="0"/>
        <w:jc w:val="center"/>
        <w:textAlignment w:val="auto"/>
        <w:outlineLvl w:val="0"/>
        <w:rPr>
          <w:rFonts w:hint="eastAsia" w:ascii="Times New Roman" w:hAnsi="仿宋_GB2312" w:eastAsia="黑体" w:cs="仿宋_GB2312"/>
          <w:b/>
          <w:sz w:val="36"/>
          <w:szCs w:val="28"/>
          <w:lang w:val="en-US" w:eastAsia="zh-CN"/>
        </w:rPr>
      </w:pPr>
      <w:r>
        <w:rPr>
          <w:rFonts w:hint="eastAsia" w:ascii="Times New Roman" w:hAnsi="仿宋_GB2312" w:eastAsia="黑体" w:cs="仿宋_GB2312"/>
          <w:b/>
          <w:sz w:val="36"/>
          <w:szCs w:val="28"/>
          <w:lang w:val="en-US" w:eastAsia="zh-CN"/>
        </w:rPr>
        <w:t>二手车交易纠纷案件中欺诈行为的认定情况</w:t>
      </w:r>
    </w:p>
    <w:p w14:paraId="5F2D6008">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二手车交易纠纷案件中经常遇到消费者作为原告并以《消费者权益保护法》第五十五条第一款为请求权基础向法院提起诉讼，主张二手车经营者存在欺诈行为并要求承担“退一赔三”惩罚性赔偿责任。对于是否适用三倍惩罚性赔偿的关键在于经营者的行为是否能被认定存在欺诈。很多时候，大家考虑是否构成欺诈一般都是依照《民法典》第一百四十八条来评判，看是否构成欺诈四要件，即第一有欺诈故意，第二有实施欺诈行为，第三受欺诈一方因欺诈陷入错误认识，第四受欺诈方因错误认识做出了意思表示。但是在消费维权领域，认定欺诈更多是依据《消费者权益保护法》相关规定，与《民法典》背景下满足欺诈的四要件稍显不同，认定消费者权益保护领域中的“欺诈”更侧重的是看经营者主观上应当具有实施欺诈行为的故意，需考虑该欺诈行为是否对消费者产生误导。然而在二手车交易实务中，交易车况每一辆都不同，经营者的说辞又有着多种表述，因此，在二手车交易中经营者向消费者披露、告知车辆真实情况的具体做法和程度是判断经营者是否存在欺诈行为的最主要评判依据。为此，笔者搜索了2020年至今已生效的浙江地区相关二手车判例，对法院在处理二手车交易中认定经营者欺诈行为的具体情况进行样本分析。</w:t>
      </w:r>
    </w:p>
    <w:p w14:paraId="302ECCAE">
      <w:pPr>
        <w:pStyle w:val="14"/>
        <w:keepNext w:val="0"/>
        <w:keepLines w:val="0"/>
        <w:pageBreakBefore w:val="0"/>
        <w:numPr>
          <w:ilvl w:val="0"/>
          <w:numId w:val="0"/>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eastAsia" w:ascii="Times New Roman" w:hAnsi="仿宋_GB2312" w:eastAsia="黑体" w:cs="仿宋_GB2312"/>
          <w:b/>
          <w:sz w:val="30"/>
          <w:szCs w:val="28"/>
          <w:lang w:val="en-US" w:eastAsia="zh-CN"/>
        </w:rPr>
      </w:pPr>
      <w:r>
        <w:rPr>
          <w:rFonts w:hint="eastAsia" w:ascii="Times New Roman" w:hAnsi="仿宋_GB2312" w:eastAsia="黑体" w:cs="仿宋_GB2312"/>
          <w:b/>
          <w:sz w:val="30"/>
          <w:szCs w:val="28"/>
          <w:lang w:val="en-US" w:eastAsia="zh-CN"/>
        </w:rPr>
        <w:t>（一）样本选取</w:t>
      </w:r>
    </w:p>
    <w:p w14:paraId="1D614EA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笔者以威科先行作为数据库来源，以“二手车”、“鉴定”、“欺诈”、为关键词，将案由限定为买卖合同纠纷，地区限定为浙江省，审理时间限定为2020年1月1日至2024年7月24日，考察近年来浙江地区法院对于二手车买卖合同纠纷中认定卖方欺诈的情况进行汇总，笔者共计获得168份判决书，具体判决情况统计如下表。</w:t>
      </w:r>
    </w:p>
    <w:tbl>
      <w:tblPr>
        <w:tblStyle w:val="9"/>
        <w:tblW w:w="7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1327"/>
        <w:gridCol w:w="2235"/>
        <w:gridCol w:w="2222"/>
      </w:tblGrid>
      <w:tr w14:paraId="4B2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tcPr>
          <w:p w14:paraId="7D08F5F5">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lang w:val="en-US" w:eastAsia="zh-CN"/>
              </w:rPr>
              <w:t>年份</w:t>
            </w:r>
          </w:p>
        </w:tc>
        <w:tc>
          <w:tcPr>
            <w:tcW w:w="1327" w:type="dxa"/>
          </w:tcPr>
          <w:p w14:paraId="1E0C2FC9">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lang w:val="en-US" w:eastAsia="zh-CN"/>
              </w:rPr>
              <w:t>数量（件）</w:t>
            </w:r>
          </w:p>
        </w:tc>
        <w:tc>
          <w:tcPr>
            <w:tcW w:w="2235" w:type="dxa"/>
          </w:tcPr>
          <w:p w14:paraId="06A66662">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认定构成欺诈（件）</w:t>
            </w:r>
          </w:p>
        </w:tc>
        <w:tc>
          <w:tcPr>
            <w:tcW w:w="2222" w:type="dxa"/>
          </w:tcPr>
          <w:p w14:paraId="53829389">
            <w:pPr>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认定欺诈占比</w:t>
            </w:r>
          </w:p>
        </w:tc>
      </w:tr>
      <w:tr w14:paraId="04A8F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vAlign w:val="top"/>
          </w:tcPr>
          <w:p w14:paraId="67E0DF3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vertAlign w:val="baseline"/>
                <w:lang w:val="en-US" w:eastAsia="zh-CN"/>
              </w:rPr>
              <w:t>2020</w:t>
            </w:r>
          </w:p>
        </w:tc>
        <w:tc>
          <w:tcPr>
            <w:tcW w:w="1327" w:type="dxa"/>
          </w:tcPr>
          <w:p w14:paraId="53D88048">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51</w:t>
            </w:r>
          </w:p>
        </w:tc>
        <w:tc>
          <w:tcPr>
            <w:tcW w:w="2235" w:type="dxa"/>
          </w:tcPr>
          <w:p w14:paraId="2EC3C8CC">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10</w:t>
            </w:r>
          </w:p>
        </w:tc>
        <w:tc>
          <w:tcPr>
            <w:tcW w:w="2222" w:type="dxa"/>
          </w:tcPr>
          <w:p w14:paraId="387934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19.61%</w:t>
            </w:r>
          </w:p>
        </w:tc>
      </w:tr>
      <w:tr w14:paraId="56BB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vAlign w:val="top"/>
          </w:tcPr>
          <w:p w14:paraId="7EFD814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vertAlign w:val="baseline"/>
                <w:lang w:val="en-US" w:eastAsia="zh-CN"/>
              </w:rPr>
              <w:t>2021</w:t>
            </w:r>
          </w:p>
        </w:tc>
        <w:tc>
          <w:tcPr>
            <w:tcW w:w="1327" w:type="dxa"/>
          </w:tcPr>
          <w:p w14:paraId="3D3FACAB">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30</w:t>
            </w:r>
          </w:p>
        </w:tc>
        <w:tc>
          <w:tcPr>
            <w:tcW w:w="2235" w:type="dxa"/>
          </w:tcPr>
          <w:p w14:paraId="0AE2E274">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8</w:t>
            </w:r>
          </w:p>
        </w:tc>
        <w:tc>
          <w:tcPr>
            <w:tcW w:w="2222" w:type="dxa"/>
          </w:tcPr>
          <w:p w14:paraId="61B34D76">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26.67%</w:t>
            </w:r>
          </w:p>
        </w:tc>
      </w:tr>
      <w:tr w14:paraId="64A8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vAlign w:val="top"/>
          </w:tcPr>
          <w:p w14:paraId="418033E8">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vertAlign w:val="baseline"/>
                <w:lang w:val="en-US" w:eastAsia="zh-CN"/>
              </w:rPr>
              <w:t>2022</w:t>
            </w:r>
          </w:p>
        </w:tc>
        <w:tc>
          <w:tcPr>
            <w:tcW w:w="1327" w:type="dxa"/>
          </w:tcPr>
          <w:p w14:paraId="652D78F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39</w:t>
            </w:r>
          </w:p>
        </w:tc>
        <w:tc>
          <w:tcPr>
            <w:tcW w:w="2235" w:type="dxa"/>
          </w:tcPr>
          <w:p w14:paraId="19DC2E47">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w:t>
            </w:r>
          </w:p>
        </w:tc>
        <w:tc>
          <w:tcPr>
            <w:tcW w:w="2222" w:type="dxa"/>
          </w:tcPr>
          <w:p w14:paraId="718B8B0E">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5.13%</w:t>
            </w:r>
          </w:p>
        </w:tc>
      </w:tr>
      <w:tr w14:paraId="57AD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vAlign w:val="top"/>
          </w:tcPr>
          <w:p w14:paraId="2ED2BCC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vertAlign w:val="baseline"/>
                <w:lang w:val="en-US" w:eastAsia="zh-CN"/>
              </w:rPr>
              <w:t>2023</w:t>
            </w:r>
          </w:p>
        </w:tc>
        <w:tc>
          <w:tcPr>
            <w:tcW w:w="1327" w:type="dxa"/>
          </w:tcPr>
          <w:p w14:paraId="293E5130">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26</w:t>
            </w:r>
          </w:p>
        </w:tc>
        <w:tc>
          <w:tcPr>
            <w:tcW w:w="2235" w:type="dxa"/>
          </w:tcPr>
          <w:p w14:paraId="52955672">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w:t>
            </w:r>
          </w:p>
        </w:tc>
        <w:tc>
          <w:tcPr>
            <w:tcW w:w="2222" w:type="dxa"/>
          </w:tcPr>
          <w:p w14:paraId="75A11DE3">
            <w:pPr>
              <w:keepNext w:val="0"/>
              <w:keepLines w:val="0"/>
              <w:pageBreakBefore w:val="0"/>
              <w:kinsoku/>
              <w:wordWrap/>
              <w:overflowPunct/>
              <w:topLinePunct w:val="0"/>
              <w:autoSpaceDE/>
              <w:autoSpaceDN/>
              <w:bidi w:val="0"/>
              <w:adjustRightInd/>
              <w:snapToGrid/>
              <w:spacing w:line="400" w:lineRule="exact"/>
              <w:ind w:firstLine="560" w:firstLineChars="200"/>
              <w:textAlignment w:val="auto"/>
              <w:rPr>
                <w:rFonts w:hint="default"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3.8%</w:t>
            </w:r>
          </w:p>
        </w:tc>
      </w:tr>
      <w:tr w14:paraId="3A0D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tcPr>
          <w:p w14:paraId="02D2A9D5">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sz w:val="24"/>
                <w:szCs w:val="22"/>
                <w:highlight w:val="none"/>
                <w:lang w:val="en-US" w:eastAsia="zh-CN"/>
              </w:rPr>
              <w:t>2024</w:t>
            </w:r>
            <w:r>
              <w:rPr>
                <w:rFonts w:hint="eastAsia" w:ascii="仿宋_GB2312" w:hAnsi="仿宋_GB2312" w:eastAsia="仿宋_GB2312" w:cs="仿宋_GB2312"/>
                <w:sz w:val="22"/>
                <w:szCs w:val="21"/>
                <w:highlight w:val="none"/>
                <w:lang w:val="en-US" w:eastAsia="zh-CN"/>
              </w:rPr>
              <w:t>（7月24日止）</w:t>
            </w:r>
          </w:p>
        </w:tc>
        <w:tc>
          <w:tcPr>
            <w:tcW w:w="1327" w:type="dxa"/>
          </w:tcPr>
          <w:p w14:paraId="4547EB8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11</w:t>
            </w:r>
          </w:p>
        </w:tc>
        <w:tc>
          <w:tcPr>
            <w:tcW w:w="2235" w:type="dxa"/>
          </w:tcPr>
          <w:p w14:paraId="261B550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0</w:t>
            </w:r>
          </w:p>
        </w:tc>
        <w:tc>
          <w:tcPr>
            <w:tcW w:w="2222" w:type="dxa"/>
          </w:tcPr>
          <w:p w14:paraId="664D319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0</w:t>
            </w:r>
          </w:p>
        </w:tc>
      </w:tr>
    </w:tbl>
    <w:p w14:paraId="608B7BD4">
      <w:pPr>
        <w:keepNext w:val="0"/>
        <w:keepLines w:val="0"/>
        <w:pageBreakBefore w:val="0"/>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default" w:ascii="Times New Roman" w:hAnsi="仿宋_GB2312" w:eastAsia="黑体" w:cs="仿宋_GB2312"/>
          <w:b/>
          <w:sz w:val="30"/>
          <w:highlight w:val="none"/>
          <w:lang w:val="en-US" w:eastAsia="zh-CN"/>
        </w:rPr>
      </w:pPr>
      <w:r>
        <w:rPr>
          <w:rFonts w:hint="eastAsia" w:ascii="Times New Roman" w:hAnsi="仿宋_GB2312" w:eastAsia="黑体" w:cs="仿宋_GB2312"/>
          <w:b/>
          <w:sz w:val="30"/>
          <w:highlight w:val="none"/>
          <w:lang w:val="en-US" w:eastAsia="zh-CN"/>
        </w:rPr>
        <w:t>（二）样本分析</w:t>
      </w:r>
    </w:p>
    <w:p w14:paraId="47837B77">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样本中，一审终审案件共111件，二审终审案件57件，二审改判案件7件，二审改判率12.28%，经营者被认定为欺诈的案件有29件，认定欺诈占比平均达到11.04%，支持“三倍赔偿”的案件有12件。在经营者被认定为欺诈的案件中，不支持“三倍赔偿”的案件有10件，其中不支持“三倍赔偿”的原因分别为：（1）原告主体不符合，即原告非消费者；（2）被告主体不符合，即被告非经营者。</w:t>
      </w:r>
    </w:p>
    <w:p w14:paraId="56ECA81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样本案例中，判决结果分别有（不完全列举）：（1）经营者存在欺诈行为，撤销买卖合同，返还购车款并按照购车款的三倍赔偿损失；（2）尚不能认定经营者存在欺诈行为，但因车辆属于事故车、泡水车等存在重大问题，该事实将直接影响消费者的购买意愿，消费者购买涉案车辆不存在该维修情形的错误认识下作出的意思表示，认定为重大误解而被判决撤销合同，并返还购车款并赔偿损失；（3）不能认定经营者存在欺诈行为，车辆也未有可能影响车辆安全性能、主要功能、基本用途或者对车辆价值产生较大影响，进而影响消费者选择权的重大瑕疵，判决驳回诉讼请求。</w:t>
      </w:r>
    </w:p>
    <w:p w14:paraId="72E954B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经营者的抗辩理由归纳起来发现，多数提及已尽到将案涉车辆的实际车况如实告知的义务，或是对案涉车辆的所谓坏车况不知情，这时都需要经营者提供其已向消费者告知车况的证据，如车况检测报告、保险出险记录等。</w:t>
      </w:r>
    </w:p>
    <w:p w14:paraId="36C005BA">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从本次案件检索中会发现，近些年经营者被法院认定为欺诈的情况越来越少，遑论最终消费者得以获得三倍赔偿款。某种程度，能够从侧面反映</w:t>
      </w:r>
      <w:r>
        <w:rPr>
          <w:rFonts w:hint="default" w:ascii="仿宋" w:hAnsi="仿宋" w:eastAsia="仿宋" w:cs="仿宋"/>
          <w:kern w:val="2"/>
          <w:sz w:val="28"/>
          <w:szCs w:val="28"/>
          <w:u w:val="none"/>
          <w:lang w:val="en-US" w:eastAsia="zh-CN" w:bidi="ar-SA"/>
        </w:rPr>
        <w:t>二手车市场</w:t>
      </w:r>
      <w:r>
        <w:rPr>
          <w:rFonts w:hint="eastAsia" w:ascii="仿宋" w:hAnsi="仿宋" w:eastAsia="仿宋" w:cs="仿宋"/>
          <w:kern w:val="2"/>
          <w:sz w:val="28"/>
          <w:szCs w:val="28"/>
          <w:u w:val="none"/>
          <w:lang w:val="en-US" w:eastAsia="zh-CN" w:bidi="ar-SA"/>
        </w:rPr>
        <w:t>趋于</w:t>
      </w:r>
      <w:r>
        <w:rPr>
          <w:rFonts w:hint="default" w:ascii="仿宋" w:hAnsi="仿宋" w:eastAsia="仿宋" w:cs="仿宋"/>
          <w:kern w:val="2"/>
          <w:sz w:val="28"/>
          <w:szCs w:val="28"/>
          <w:u w:val="none"/>
          <w:lang w:val="en-US" w:eastAsia="zh-CN" w:bidi="ar-SA"/>
        </w:rPr>
        <w:t>规范</w:t>
      </w:r>
      <w:r>
        <w:rPr>
          <w:rFonts w:hint="eastAsia" w:ascii="仿宋" w:hAnsi="仿宋" w:eastAsia="仿宋" w:cs="仿宋"/>
          <w:kern w:val="2"/>
          <w:sz w:val="28"/>
          <w:szCs w:val="28"/>
          <w:u w:val="none"/>
          <w:lang w:val="en-US" w:eastAsia="zh-CN" w:bidi="ar-SA"/>
        </w:rPr>
        <w:t>化发展</w:t>
      </w:r>
      <w:r>
        <w:rPr>
          <w:rFonts w:hint="default" w:ascii="仿宋" w:hAnsi="仿宋" w:eastAsia="仿宋" w:cs="仿宋"/>
          <w:kern w:val="2"/>
          <w:sz w:val="28"/>
          <w:szCs w:val="28"/>
          <w:u w:val="none"/>
          <w:lang w:val="en-US" w:eastAsia="zh-CN" w:bidi="ar-SA"/>
        </w:rPr>
        <w:t>，</w:t>
      </w:r>
      <w:r>
        <w:rPr>
          <w:rFonts w:hint="eastAsia" w:ascii="仿宋" w:hAnsi="仿宋" w:eastAsia="仿宋" w:cs="仿宋"/>
          <w:kern w:val="2"/>
          <w:sz w:val="28"/>
          <w:szCs w:val="28"/>
          <w:u w:val="none"/>
          <w:lang w:val="en-US" w:eastAsia="zh-CN" w:bidi="ar-SA"/>
        </w:rPr>
        <w:t>一方面</w:t>
      </w:r>
      <w:r>
        <w:rPr>
          <w:rFonts w:hint="default" w:ascii="仿宋" w:hAnsi="仿宋" w:eastAsia="仿宋" w:cs="仿宋"/>
          <w:kern w:val="2"/>
          <w:sz w:val="28"/>
          <w:szCs w:val="28"/>
          <w:u w:val="none"/>
          <w:lang w:val="en-US" w:eastAsia="zh-CN" w:bidi="ar-SA"/>
        </w:rPr>
        <w:t>源于消费者维权意识增强，</w:t>
      </w:r>
      <w:r>
        <w:rPr>
          <w:rFonts w:hint="eastAsia" w:ascii="仿宋" w:hAnsi="仿宋" w:eastAsia="仿宋" w:cs="仿宋"/>
          <w:kern w:val="2"/>
          <w:sz w:val="28"/>
          <w:szCs w:val="28"/>
          <w:u w:val="none"/>
          <w:lang w:val="en-US" w:eastAsia="zh-CN" w:bidi="ar-SA"/>
        </w:rPr>
        <w:t>倒逼经营者规范其交易流程，强化法律意识，提供符合规范的合同范本进行交易；另一方面第三方检测机构的兴起，让二手车检测越来越规范。然而，虽然欺诈及退一赔三的情形在一定程度上尚未发酵，但是样本中同样发现了二手车交易欺诈行为认定相关的偏差和误区，有必要予以说明分析。</w:t>
      </w:r>
    </w:p>
    <w:p w14:paraId="2912EBE6">
      <w:pPr>
        <w:pStyle w:val="14"/>
        <w:keepNext w:val="0"/>
        <w:keepLines w:val="0"/>
        <w:pageBreakBefore w:val="0"/>
        <w:numPr>
          <w:ilvl w:val="0"/>
          <w:numId w:val="3"/>
        </w:numPr>
        <w:kinsoku/>
        <w:wordWrap/>
        <w:overflowPunct/>
        <w:topLinePunct w:val="0"/>
        <w:autoSpaceDE/>
        <w:autoSpaceDN/>
        <w:bidi w:val="0"/>
        <w:adjustRightInd/>
        <w:snapToGrid/>
        <w:spacing w:before="340" w:beforeAutospacing="0" w:after="330" w:afterAutospacing="0" w:line="578" w:lineRule="auto"/>
        <w:ind w:left="0" w:leftChars="0" w:right="0" w:rightChars="0" w:firstLine="0" w:firstLineChars="0"/>
        <w:jc w:val="center"/>
        <w:textAlignment w:val="auto"/>
        <w:outlineLvl w:val="0"/>
        <w:rPr>
          <w:rFonts w:hint="eastAsia" w:ascii="Times New Roman" w:hAnsi="仿宋_GB2312" w:eastAsia="黑体" w:cs="仿宋_GB2312"/>
          <w:b/>
          <w:sz w:val="36"/>
          <w:szCs w:val="28"/>
          <w:lang w:val="en-US" w:eastAsia="zh-CN"/>
        </w:rPr>
      </w:pPr>
      <w:r>
        <w:rPr>
          <w:rFonts w:hint="eastAsia" w:ascii="Times New Roman" w:hAnsi="仿宋_GB2312" w:eastAsia="黑体" w:cs="仿宋_GB2312"/>
          <w:b/>
          <w:sz w:val="36"/>
          <w:szCs w:val="28"/>
        </w:rPr>
        <w:t>判例中发现</w:t>
      </w:r>
      <w:r>
        <w:rPr>
          <w:rFonts w:hint="eastAsia" w:ascii="Times New Roman" w:hAnsi="仿宋_GB2312" w:eastAsia="黑体" w:cs="仿宋_GB2312"/>
          <w:b/>
          <w:sz w:val="36"/>
          <w:szCs w:val="28"/>
          <w:lang w:eastAsia="zh-CN"/>
        </w:rPr>
        <w:t>的</w:t>
      </w:r>
      <w:r>
        <w:rPr>
          <w:rFonts w:hint="eastAsia" w:ascii="Times New Roman" w:hAnsi="仿宋_GB2312" w:eastAsia="黑体" w:cs="仿宋_GB2312"/>
          <w:b/>
          <w:sz w:val="36"/>
          <w:szCs w:val="28"/>
        </w:rPr>
        <w:t>常见实务</w:t>
      </w:r>
      <w:r>
        <w:rPr>
          <w:rFonts w:hint="eastAsia" w:ascii="Times New Roman" w:hAnsi="仿宋_GB2312" w:eastAsia="黑体" w:cs="仿宋_GB2312"/>
          <w:b/>
          <w:sz w:val="36"/>
          <w:szCs w:val="28"/>
          <w:lang w:val="en-US" w:eastAsia="zh-CN"/>
        </w:rPr>
        <w:t>认定偏差</w:t>
      </w:r>
    </w:p>
    <w:p w14:paraId="5722903F">
      <w:pPr>
        <w:pStyle w:val="14"/>
        <w:keepNext w:val="0"/>
        <w:keepLines w:val="0"/>
        <w:pageBreakBefore w:val="0"/>
        <w:widowControl/>
        <w:numPr>
          <w:ilvl w:val="0"/>
          <w:numId w:val="4"/>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default" w:ascii="Times New Roman" w:hAnsi="仿宋_GB2312" w:eastAsia="黑体" w:cs="仿宋_GB2312"/>
          <w:b/>
          <w:sz w:val="30"/>
          <w:szCs w:val="28"/>
          <w:lang w:val="en-US" w:eastAsia="zh-CN"/>
        </w:rPr>
      </w:pPr>
      <w:r>
        <w:rPr>
          <w:rFonts w:hint="eastAsia" w:ascii="Times New Roman" w:hAnsi="仿宋_GB2312" w:eastAsia="黑体" w:cs="仿宋_GB2312"/>
          <w:b/>
          <w:sz w:val="30"/>
          <w:szCs w:val="28"/>
          <w:lang w:val="en-US" w:eastAsia="zh-CN"/>
        </w:rPr>
        <w:t>重大事故车与事故车</w:t>
      </w:r>
    </w:p>
    <w:p w14:paraId="577CBAAC">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从样本裁判文书行文可以发现，二手车交易中常见买卖合同模板经营者作出“无重大事故、无泡水、无火烧”的承诺，在二手车行业交易惯例中普遍认为车辆发生事故伤及四梁六柱（前后纵梁及A、B、C柱）属于“重大事故车”。但实际上，与二手车鉴定评估有关的国家标准，即《GB／T 3023-2013二手车鉴定评估技术规范》中，没有出现“重大事故车”这一定义，只有“事故车”与“非事故车的定义”，该标准中对事故车的定义为“左右A柱，左右B柱，左右C柱，左右前纵梁，左右前减震器悬挂，左右后减震器悬挂等有变形，扭曲，更换，烧焊，褶皱四个缺陷之一的，就判断为事故车”。前述两个概念差别较小，但“重大事故车”所含的受损伤件更少，有利于经营者促成交易，对“重大事故车”的定义解释也更有利于经营者。对于消费者，其与经营者订立合同的目的即为以低价购入车况良好的车辆，当然地会认为车辆曾发生过事故，就属于重大事故车，由此在买卖合同的订立及履行过程中，经营者与消费者之间的认知和观念天然地存在差别，造成了信息不对等，甚至人为的发生了偏差。司法实践中，案涉车辆经过鉴定被认定为事故车也并非必然认定经营者存在欺诈行为，在此情况下，部分法院认为消费者基于错误认识购买涉案车辆，被认定为重大误解，从而判决撤销消费者与经营者之间的买卖合同。于是，出现了消费者眼中的重大事故车经过鉴定却不是事故车，甚至经营者不存在欺诈行为的特殊情况，让消费者百思不得其解，有的还开始怀疑司法公正。</w:t>
      </w:r>
    </w:p>
    <w:p w14:paraId="67DA6A21">
      <w:pPr>
        <w:pStyle w:val="14"/>
        <w:keepNext w:val="0"/>
        <w:keepLines w:val="0"/>
        <w:pageBreakBefore w:val="0"/>
        <w:widowControl/>
        <w:numPr>
          <w:ilvl w:val="0"/>
          <w:numId w:val="5"/>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eastAsia" w:ascii="Times New Roman" w:hAnsi="仿宋_GB2312" w:eastAsia="黑体" w:cs="仿宋_GB2312"/>
          <w:b/>
          <w:sz w:val="30"/>
          <w:szCs w:val="28"/>
        </w:rPr>
      </w:pPr>
      <w:r>
        <w:rPr>
          <w:rFonts w:hint="eastAsia" w:ascii="Times New Roman" w:hAnsi="仿宋_GB2312" w:eastAsia="黑体" w:cs="仿宋_GB2312"/>
          <w:b/>
          <w:sz w:val="30"/>
          <w:szCs w:val="28"/>
        </w:rPr>
        <w:t>水淹车</w:t>
      </w:r>
      <w:r>
        <w:rPr>
          <w:rFonts w:hint="eastAsia" w:ascii="Times New Roman" w:hAnsi="仿宋_GB2312" w:eastAsia="黑体" w:cs="仿宋_GB2312"/>
          <w:b/>
          <w:sz w:val="30"/>
          <w:szCs w:val="28"/>
          <w:lang w:eastAsia="zh-CN"/>
        </w:rPr>
        <w:t>、</w:t>
      </w:r>
      <w:r>
        <w:rPr>
          <w:rFonts w:hint="eastAsia" w:ascii="Times New Roman" w:hAnsi="仿宋_GB2312" w:eastAsia="黑体" w:cs="仿宋_GB2312"/>
          <w:b/>
          <w:sz w:val="30"/>
          <w:szCs w:val="28"/>
          <w:lang w:val="en-US" w:eastAsia="zh-CN"/>
        </w:rPr>
        <w:t>涉水车是否</w:t>
      </w:r>
      <w:r>
        <w:rPr>
          <w:rFonts w:hint="eastAsia" w:ascii="Times New Roman" w:hAnsi="仿宋_GB2312" w:eastAsia="黑体" w:cs="仿宋_GB2312"/>
          <w:b/>
          <w:sz w:val="30"/>
          <w:szCs w:val="28"/>
        </w:rPr>
        <w:t>等于泡水车</w:t>
      </w:r>
    </w:p>
    <w:p w14:paraId="1428CC7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从样本裁判文书中发现，对于涉案车辆的认定存在“泡水车”、“水淹车”、“涉水车”等不同概念，在二手车交易惯例中这些概念混用的现象非常普遍。在《</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"https://law.wkinfo.com.cn/document/show?collection=legislation&amp;aid=MTAxMDAzMjcyNzE=&amp;language=%E4%B8%AD%E6%96%87"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二手车鉴定评估技术规范</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》（GB／T 30323-2013）中，未对泡水车作相关定义，而是从车身部件外观、车内气味等因素综合判断车况。依照二手车行业惯例，泡水车一般是指发动机被水泡过，车身整体浸水深度超过车轮的1/3（到门槛板），车身底部部件与水长时间接触的汽车，这样的汽车危险系数很大。</w:t>
      </w:r>
      <w:r>
        <w:rPr>
          <w:rFonts w:hint="eastAsia" w:ascii="仿宋" w:hAnsi="仿宋" w:eastAsia="仿宋" w:cs="仿宋"/>
          <w:kern w:val="2"/>
          <w:sz w:val="28"/>
          <w:szCs w:val="28"/>
          <w:u w:val="none"/>
          <w:lang w:val="en-US" w:eastAsia="zh-CN" w:bidi="ar-SA"/>
        </w:rPr>
        <w:endnoteReference w:id="1"/>
      </w:r>
      <w:r>
        <w:rPr>
          <w:rFonts w:hint="eastAsia" w:ascii="仿宋" w:hAnsi="仿宋" w:eastAsia="仿宋" w:cs="仿宋"/>
          <w:kern w:val="2"/>
          <w:sz w:val="28"/>
          <w:szCs w:val="28"/>
          <w:u w:val="none"/>
          <w:lang w:val="en-US" w:eastAsia="zh-CN" w:bidi="ar-SA"/>
        </w:rPr>
        <w:t>保险公司在车辆发生泡水事故时认定水淹程度具有自己的定损标准（如下表所示），从保险公司认定水淹等级的分类看，只要水淹高度超过制动盘或制动鼓下沿以上便可认定为水淹车，至于水淹程度以水淹等级来体现，以水淹高度作为水淹等级的划分标准。涉水车与泡水车是两个不同的概念，汽车涉水因素很多，比如天窗损坏或者车窗关闭不严以及车辆通过积水路面，水没过底盘等一系列原因，造成雨水进入驾驶舱等（样本案例：施李敏、曾洋等买卖合同纠纷一审民事判决书）。</w:t>
      </w:r>
    </w:p>
    <w:p w14:paraId="389F1ED3">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另外，样本案件中，刘猛与宁波中联星辉汽车服务有限公司、宁波一片云汽车服务有限公司买卖合同纠一案原告主张被告存在欺诈行为，向鉴定机构提起鉴定，鉴定认为“……只能认定涉案车辆曾发生过泡水事故，但具体泡水时间不清楚，原告未提供证据证明该泡水事故发生在2017年3月3日至同年8月4日期间即中联星辉公司使用涉案车辆期间……”。二手车鉴定评估的操作方法主要是用眼睛观察修复痕迹，像车辆泡水之后只能靠在车身或内部留下的水痕来判断泡水程度，不能确定泡水事故形成的时间，这也是二手车鉴定存在的局限性。</w:t>
      </w:r>
    </w:p>
    <w:p w14:paraId="2EDDA26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保险公司认定泡水车等级</w:t>
      </w:r>
      <w:r>
        <w:rPr>
          <w:rFonts w:hint="eastAsia" w:ascii="仿宋" w:hAnsi="仿宋" w:eastAsia="仿宋" w:cs="仿宋"/>
          <w:kern w:val="2"/>
          <w:sz w:val="28"/>
          <w:szCs w:val="28"/>
          <w:u w:val="none"/>
          <w:lang w:val="en-US" w:eastAsia="zh-CN" w:bidi="ar-SA"/>
        </w:rPr>
        <w:endnoteReference w:id="2"/>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7016"/>
      </w:tblGrid>
      <w:tr w14:paraId="0135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5" w:type="dxa"/>
            <w:gridSpan w:val="2"/>
          </w:tcPr>
          <w:p w14:paraId="382BC387">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水淹高度因素和等级</w:t>
            </w:r>
          </w:p>
        </w:tc>
      </w:tr>
      <w:tr w14:paraId="6A0D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269" w:type="dxa"/>
          </w:tcPr>
          <w:p w14:paraId="2413AF72">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高度1级</w:t>
            </w:r>
          </w:p>
        </w:tc>
        <w:tc>
          <w:tcPr>
            <w:tcW w:w="7016" w:type="dxa"/>
          </w:tcPr>
          <w:p w14:paraId="5A7B7EAA">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制动盘或制动鼓下沿以上，车身底板以下，车内未进水。</w:t>
            </w:r>
          </w:p>
        </w:tc>
      </w:tr>
      <w:tr w14:paraId="3AA7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17949C7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高度2级</w:t>
            </w:r>
          </w:p>
        </w:tc>
        <w:tc>
          <w:tcPr>
            <w:tcW w:w="7016" w:type="dxa"/>
          </w:tcPr>
          <w:p w14:paraId="6085F135">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车身底板以上，车内进水，但水淹高度在车内座椅以下。</w:t>
            </w:r>
          </w:p>
        </w:tc>
      </w:tr>
      <w:tr w14:paraId="3987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E8889AA">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高度3级</w:t>
            </w:r>
          </w:p>
        </w:tc>
        <w:tc>
          <w:tcPr>
            <w:tcW w:w="7016" w:type="dxa"/>
          </w:tcPr>
          <w:p w14:paraId="6676A426">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车内进水，水淹高度在车内座椅以上，组合仪表台以下。</w:t>
            </w:r>
          </w:p>
        </w:tc>
      </w:tr>
      <w:tr w14:paraId="197C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69" w:type="dxa"/>
          </w:tcPr>
          <w:p w14:paraId="3715267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高度4级</w:t>
            </w:r>
          </w:p>
        </w:tc>
        <w:tc>
          <w:tcPr>
            <w:tcW w:w="7016" w:type="dxa"/>
          </w:tcPr>
          <w:p w14:paraId="0D8790FC">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车内进水，水淹高度在组合仪表台中部。</w:t>
            </w:r>
          </w:p>
        </w:tc>
      </w:tr>
      <w:tr w14:paraId="44C2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00FDCA6">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高度5级</w:t>
            </w:r>
          </w:p>
        </w:tc>
        <w:tc>
          <w:tcPr>
            <w:tcW w:w="7016" w:type="dxa"/>
          </w:tcPr>
          <w:p w14:paraId="5194463D">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车内进水，水淹高度在组合仪表台以上，车内顶棚以下。</w:t>
            </w:r>
          </w:p>
        </w:tc>
      </w:tr>
      <w:tr w14:paraId="4EA6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116F0AA">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高度6级</w:t>
            </w:r>
          </w:p>
        </w:tc>
        <w:tc>
          <w:tcPr>
            <w:tcW w:w="7016" w:type="dxa"/>
          </w:tcPr>
          <w:p w14:paraId="2E39C311">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车身整体被水淹没。</w:t>
            </w:r>
          </w:p>
        </w:tc>
      </w:tr>
    </w:tbl>
    <w:p w14:paraId="35BCFBD6">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Times New Roman" w:hAnsi="仿宋_GB2312" w:eastAsia="宋体" w:cs="仿宋_GB2312"/>
          <w:sz w:val="24"/>
          <w:szCs w:val="28"/>
          <w:highlight w:val="lightGray"/>
          <w:lang w:val="en-US" w:eastAsia="zh-CN"/>
        </w:rPr>
      </w:pPr>
    </w:p>
    <w:p w14:paraId="617198A7">
      <w:pPr>
        <w:pStyle w:val="14"/>
        <w:keepNext w:val="0"/>
        <w:keepLines w:val="0"/>
        <w:pageBreakBefore w:val="0"/>
        <w:widowControl/>
        <w:numPr>
          <w:ilvl w:val="0"/>
          <w:numId w:val="5"/>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eastAsia" w:ascii="Times New Roman" w:hAnsi="仿宋_GB2312" w:eastAsia="黑体" w:cs="仿宋_GB2312"/>
          <w:b/>
          <w:sz w:val="30"/>
          <w:szCs w:val="28"/>
        </w:rPr>
      </w:pPr>
      <w:r>
        <w:rPr>
          <w:rFonts w:hint="eastAsia" w:ascii="Times New Roman" w:hAnsi="仿宋_GB2312" w:eastAsia="黑体" w:cs="仿宋_GB2312"/>
          <w:b/>
          <w:sz w:val="30"/>
          <w:szCs w:val="28"/>
          <w:lang w:val="en-US" w:eastAsia="zh-CN"/>
        </w:rPr>
        <w:t>事故车认定执行何种标准？</w:t>
      </w:r>
    </w:p>
    <w:p w14:paraId="4733B4BF">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造成二手车行业内事故车认定的偏差最本质问题是我国二手车鉴定没有统一标准，对于二手车鉴定该执行何种标准没有准确的答案。我国《标准化法》第二条规定，标准包括</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"https://baike.baidu.com/item/%E5%9B%BD%E5%AE%B6%E6%A0%87%E5%87%86/596584?fromModule=lemma_inlink"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国家标准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"https://baike.baidu.com/item/%E8%A1%8C%E4%B8%9A%E6%A0%87%E5%87%86/3567971?fromModule=lemma_inlink"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行业标准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"https://baike.baidu.com/item/%E5%9C%B0%E6%96%B9%E6%A0%87%E5%87%86/3567951?fromModule=lemma_inlink"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地方标准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和</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"https://baike.baidu.com/item/%E5%9B%A2%E4%BD%93%E6%A0%87%E5%87%86/19718664?fromModule=lemma_inlink"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团体标准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"https://baike.baidu.com/item/%E4%BC%81%E4%B8%9A%E6%A0%87%E5%87%86/10401946?fromModule=lemma_inlink"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企业标准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。国家标准分为</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"https://baike.baidu.com/item/%E5%BC%BA%E5%88%B6%E6%80%A7%E6%A0%87%E5%87%86/5169878?fromModule=lemma_inlink"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强制性标准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"https://baike.baidu.com/item/%E6%8E%A8%E8%8D%90%E6%80%A7%E6%A0%87%E5%87%86/3566710?fromModule=lemma_inlink"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推荐性标准</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行业标准、地方标准是推荐性标准。强制性标准必须执行。国家鼓励采用推荐性标准。同时《民法典》第五百一十一条第一款第（一）项规定，当事人就有关合同质量要求约定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EB9A6B5">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目前在二手车领域适用的各类标准分别有，一是国家强制性标准《机动车运行安全技术条件》（GB 7258-2017），该标准是我国机动车国家安全技术标准的重要组成部分,是进行注册登记检验和在用机动车检验、机动车查验等机动车运行安全管理及事故车检验最基本的技术标准；二是国家推荐标准《</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"https://law.wkinfo.com.cn/document/show?collection=legislation&amp;aid=MTAxMDAzMjcyNzE=&amp;language=%E4%B8%AD%E6%96%87"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二手车鉴定评估技术规范</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》（GB/T 30323-2013），该国标专项适用于从事二手车（小、微型客车和大型轿车）鉴定评估和活动，其中实际也一定程度上引用了前述强制性标准GB 7528《机动车运行安全技术条件》，目前是市场上二手车鉴定评估的主要技术依据；三是交通运输部发布的行业推荐标准《事故汽车修复技术规范》（JT/T 795—2023），该标准重点规定了事故汽车修复的作业流程、工艺要求、零部件修换原则、竣工出厂技术要求及检验方法和质量保证，为规范事故汽车维修和保险定损提供了重要的技术依据；四是团体标准，各地区、社会团体在近年出台了大量汽车流通领域的团体标准、地方标准，如中国汽车流通协会团体标准《乘用车鉴定评估规范》（T／CADA18-2021），规定细化了事故车的检测项目，对水泡车和火烧车进行了明确规定，对事故车的认定标准有所限缩；实务中我们还发现，宁波地区司法鉴定中适用了宁波市二手车流通协会于2024年3月8日发布的团体标准《二手车鉴定评估规范》，该标准明确了重大事故车、泡水车、火烧车的定义，对上述问题车辆判定标准进行了细化、量化。最后是企业标准，如</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"https://baike.baidu.com/item/%E5%8C%97%E4%BA%AC%E9%85%B7%E8%BD%A6%E6%98%93%E7%BE%8E%E7%BD%91%E7%BB%9C%E7%A7%91%E6%8A%80%E6%9C%89%E9%99%90%E5%85%AC%E5%8F%B8/21038738?fromModule=lemma_inlink"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北京酷车易美网络科技有限公司</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推出的查博士二手车交易服务软件，冖以其自行制定的企业标准对二手车车况进行鉴定评估的现象。从样本裁判文书中可以发现，司法鉴定机构对事故车认定评判标准主要适用国家推荐标准《</w:t>
      </w:r>
      <w:r>
        <w:rPr>
          <w:rFonts w:hint="eastAsia" w:ascii="仿宋" w:hAnsi="仿宋" w:eastAsia="仿宋" w:cs="仿宋"/>
          <w:kern w:val="2"/>
          <w:sz w:val="28"/>
          <w:szCs w:val="28"/>
          <w:u w:val="none"/>
          <w:lang w:val="en-US" w:eastAsia="zh-CN" w:bidi="ar-SA"/>
        </w:rPr>
        <w:fldChar w:fldCharType="begin"/>
      </w:r>
      <w:r>
        <w:rPr>
          <w:rFonts w:hint="eastAsia" w:ascii="仿宋" w:hAnsi="仿宋" w:eastAsia="仿宋" w:cs="仿宋"/>
          <w:kern w:val="2"/>
          <w:sz w:val="28"/>
          <w:szCs w:val="28"/>
          <w:u w:val="none"/>
          <w:lang w:val="en-US" w:eastAsia="zh-CN" w:bidi="ar-SA"/>
        </w:rPr>
        <w:instrText xml:space="preserve"> HYPERLINK "https://law.wkinfo.com.cn/document/show?collection=legislation&amp;aid=MTAxMDAzMjcyNzE=&amp;language=%E4%B8%AD%E6%96%87" \t "/Users/lintttt/Documents\\x/_blank" </w:instrText>
      </w:r>
      <w:r>
        <w:rPr>
          <w:rFonts w:hint="eastAsia" w:ascii="仿宋" w:hAnsi="仿宋" w:eastAsia="仿宋" w:cs="仿宋"/>
          <w:kern w:val="2"/>
          <w:sz w:val="28"/>
          <w:szCs w:val="28"/>
          <w:u w:val="none"/>
          <w:lang w:val="en-US" w:eastAsia="zh-CN" w:bidi="ar-SA"/>
        </w:rPr>
        <w:fldChar w:fldCharType="separate"/>
      </w:r>
      <w:r>
        <w:rPr>
          <w:rFonts w:hint="eastAsia" w:ascii="仿宋" w:hAnsi="仿宋" w:eastAsia="仿宋" w:cs="仿宋"/>
          <w:kern w:val="2"/>
          <w:sz w:val="28"/>
          <w:szCs w:val="28"/>
          <w:u w:val="none"/>
          <w:lang w:val="en-US" w:eastAsia="zh-CN" w:bidi="ar-SA"/>
        </w:rPr>
        <w:t>二手车鉴定评估技术规范</w:t>
      </w:r>
      <w:r>
        <w:rPr>
          <w:rFonts w:hint="eastAsia" w:ascii="仿宋" w:hAnsi="仿宋" w:eastAsia="仿宋" w:cs="仿宋"/>
          <w:kern w:val="2"/>
          <w:sz w:val="28"/>
          <w:szCs w:val="28"/>
          <w:u w:val="none"/>
          <w:lang w:val="en-US" w:eastAsia="zh-CN" w:bidi="ar-SA"/>
        </w:rPr>
        <w:fldChar w:fldCharType="end"/>
      </w:r>
      <w:r>
        <w:rPr>
          <w:rFonts w:hint="eastAsia" w:ascii="仿宋" w:hAnsi="仿宋" w:eastAsia="仿宋" w:cs="仿宋"/>
          <w:kern w:val="2"/>
          <w:sz w:val="28"/>
          <w:szCs w:val="28"/>
          <w:u w:val="none"/>
          <w:lang w:val="en-US" w:eastAsia="zh-CN" w:bidi="ar-SA"/>
        </w:rPr>
        <w:t>》（GB／T30323-2013），但该标准出台时间距今已有11年，现在不仅车身结构相较以前发生显著变化，随着新能源汽车产销持续大幅增长，新能源二手车也将渗透二手车交易市场，对于标准的适用也将迎来巨大的考验。团体标准、行业标准以及企业标准的出台虽细化、明确了《二手车鉴定评估规范》中事故车的认定，但仅仅是行业或企业标准，靠的是各方的“买面子”照顾进行约定适用，不能解决二手车行业检测存在的乱象，也无法达到二手车行业高质量发展的要求。</w:t>
      </w:r>
    </w:p>
    <w:p w14:paraId="1CEFF17D">
      <w:pPr>
        <w:keepNext w:val="0"/>
        <w:keepLines w:val="0"/>
        <w:pageBreakBefore w:val="0"/>
        <w:numPr>
          <w:ilvl w:val="0"/>
          <w:numId w:val="3"/>
        </w:numPr>
        <w:kinsoku/>
        <w:wordWrap/>
        <w:overflowPunct/>
        <w:topLinePunct w:val="0"/>
        <w:autoSpaceDE/>
        <w:autoSpaceDN/>
        <w:bidi w:val="0"/>
        <w:adjustRightInd/>
        <w:snapToGrid/>
        <w:spacing w:before="340" w:beforeAutospacing="0" w:after="330" w:afterAutospacing="0" w:line="578" w:lineRule="auto"/>
        <w:ind w:left="0" w:leftChars="0" w:right="0" w:rightChars="0" w:firstLine="0" w:firstLineChars="0"/>
        <w:jc w:val="center"/>
        <w:textAlignment w:val="auto"/>
        <w:outlineLvl w:val="0"/>
        <w:rPr>
          <w:rFonts w:hint="eastAsia" w:ascii="Times New Roman" w:eastAsia="黑体"/>
          <w:b/>
          <w:sz w:val="36"/>
        </w:rPr>
      </w:pPr>
      <w:r>
        <w:rPr>
          <w:rFonts w:hint="eastAsia" w:ascii="Times New Roman" w:eastAsia="黑体"/>
          <w:b/>
          <w:sz w:val="36"/>
        </w:rPr>
        <w:t>经营者告知义务的界定对其欺诈行为认定的影响</w:t>
      </w:r>
    </w:p>
    <w:p w14:paraId="6CEE7E3D">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根据《二手车流通管理办法》第十四条规定，二手车卖方应当向买方提供车辆的使用、修理、事故、检验以及是否办理抵押登记、交纳税费、报废期等真实情况和信息。买方购买的车辆如因卖方隐瞒和欺诈不能办理转移登记，卖方应当无条件接受退车，并退还购车款等费用。对于经营者信息披露义务的具体范围，法律没有作出直接规定，最高人民法院作出的（2018）最高法民终12号民事判决书中认为，“二手车交易欺诈认定的原则是把握好经营者隐瞒的信息是否属于可能影响车辆安全性能、主要功能、基本用途或者对车辆价值产生较大影响，进而影响消费者选择权的重大瑕疵，如车辆动力系统、刹车系统、转向系统、安全结构部件等的重大瑕疵”。众所周知，二手车非新车，往往存在一定程度的修整以达到外观上易于流通，无法苛求其具有与新车相同的车况。对于经营者而言，其也受制于汽车交易的不透明性，其出售的车辆也可能经过了多次转让，无法确保其已掌握全面、准确的车况信息。虽然如此，但根据《浙江省实施&lt;消费者权益保护法&gt;办法》第二十八条规定，二手汽车的行驶里程、维修等情况无法核查的，应当将无法核查的事实和可能存在的隐患以书面或者其他可以核查的方式告知消费者，这要求经营者对其无法全面掌握的车况信息需告知消费者，而非对消费者作出车辆无重大事故的承诺。可见，二手车交易中对于经营者的告知义务的法律层面要求还是相对较高。</w:t>
      </w:r>
    </w:p>
    <w:p w14:paraId="458923F4">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结合本次搜索的样本案例，其中关于经营者告知义务界定最为典型的是舒凯枫、衢州市柯城双惠二手车信息咨询服务部买卖合同纠纷二审案件，法院认定“双惠二手车信息咨询服务部作为二手车经销商，应将无法查询维修记录的情况如实告知舒凯枫，更不应在车辆未核查、检测的情况下作出无重大伤亡事故等的保证。双惠服务部在未尽到经营者真实、全面提供商品信息之义务的情况下，仍作出前述保证，该保证亦属虚假，并导致舒凯枫陷入错误认识购买了车辆，双惠服务部的行为构成欺诈。”另外，在俞稼颖、张文豪买卖合同纠纷二审案件，二审改判认定“因案涉车辆于2018年1月27日发生重大事故时，经营者张文豪尚未购买案涉车辆，且张文豪称其购买案涉车辆时也不知晓该重大事故，而消费者俞稼颖亦未提供证据证明张文豪在签订案涉《汽车转让协议》时知晓该重大事故，故案涉证据尚不足以认定张文豪构成欺诈。”如依照《浙江省实施&lt;消费者权益保护法&gt;办法》第二十八条规定，作为经营者的张文豪应在其购买案涉车辆后对该车辆进行检测，而非只向消费者出示交易之前的车况记录以视已履行披露告知义务。《浙江省实施&lt;消费者权益保护法&gt;办法》第二十八条则是对《二手流通管理办法》中的经营者告知义务进行了细化，这对经营者规范交易提出了更高的要求。</w:t>
      </w:r>
    </w:p>
    <w:p w14:paraId="0510E813">
      <w:pPr>
        <w:keepNext w:val="0"/>
        <w:keepLines w:val="0"/>
        <w:pageBreakBefore w:val="0"/>
        <w:numPr>
          <w:ilvl w:val="0"/>
          <w:numId w:val="0"/>
        </w:numPr>
        <w:kinsoku/>
        <w:wordWrap/>
        <w:overflowPunct/>
        <w:topLinePunct w:val="0"/>
        <w:autoSpaceDE/>
        <w:autoSpaceDN/>
        <w:bidi w:val="0"/>
        <w:adjustRightInd/>
        <w:snapToGrid/>
        <w:spacing w:before="340" w:beforeAutospacing="0" w:after="330" w:afterAutospacing="0" w:line="578" w:lineRule="auto"/>
        <w:ind w:left="0" w:leftChars="0" w:right="0" w:rightChars="0" w:firstLine="0" w:firstLineChars="0"/>
        <w:jc w:val="center"/>
        <w:textAlignment w:val="auto"/>
        <w:outlineLvl w:val="0"/>
        <w:rPr>
          <w:rFonts w:hint="default" w:ascii="Times New Roman" w:hAnsi="仿宋_GB2312" w:eastAsia="黑体" w:cs="仿宋_GB2312"/>
          <w:b/>
          <w:sz w:val="36"/>
          <w:szCs w:val="28"/>
          <w:highlight w:val="none"/>
          <w:lang w:val="en-US" w:eastAsia="zh-CN"/>
        </w:rPr>
      </w:pPr>
      <w:r>
        <w:rPr>
          <w:rFonts w:hint="eastAsia" w:ascii="Times New Roman" w:hAnsi="仿宋_GB2312" w:eastAsia="黑体" w:cs="仿宋_GB2312"/>
          <w:b/>
          <w:sz w:val="36"/>
          <w:szCs w:val="28"/>
          <w:highlight w:val="none"/>
          <w:lang w:val="en-US" w:eastAsia="zh-CN"/>
        </w:rPr>
        <w:t>四、二手车交易中经营者的合规建议</w:t>
      </w:r>
    </w:p>
    <w:p w14:paraId="0F70439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进入2024年以来，新能源汽车渗透率持续上升，新车价格不断下探，二手车市场面临着巨大的挑战，但从长远来看，二手车行业又有较大的发展潜力。所以，在总结样本案例中经营者销售行为和法院认定基础上，对于完善我国二手车流通、规范二手车经营者经营活动等方面，提出如下合规建议：</w:t>
      </w:r>
    </w:p>
    <w:p w14:paraId="366D774A">
      <w:pPr>
        <w:keepNext w:val="0"/>
        <w:keepLines w:val="0"/>
        <w:pageBreakBefore w:val="0"/>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default" w:ascii="Times New Roman" w:hAnsi="仿宋_GB2312" w:eastAsia="黑体" w:cs="仿宋_GB2312"/>
          <w:b/>
          <w:sz w:val="30"/>
          <w:szCs w:val="28"/>
          <w:highlight w:val="none"/>
          <w:lang w:val="en-US" w:eastAsia="zh-CN"/>
        </w:rPr>
      </w:pPr>
      <w:r>
        <w:rPr>
          <w:rFonts w:hint="eastAsia" w:ascii="Times New Roman" w:hAnsi="仿宋_GB2312" w:eastAsia="黑体" w:cs="仿宋_GB2312"/>
          <w:b/>
          <w:sz w:val="30"/>
          <w:szCs w:val="28"/>
          <w:highlight w:val="none"/>
          <w:lang w:val="en-US" w:eastAsia="zh-CN"/>
        </w:rPr>
        <w:t>（一）亟待更新升级二手车流通领域国家推荐标准。</w:t>
      </w:r>
    </w:p>
    <w:p w14:paraId="0CD44716">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GB／T30323-2013《二手车鉴定评估技术规范》是我国批准发布的第一部有关二手车的技术标准，颁布实施距今已有11年。这11年间，因汽车生产技术的发展出现了新的汽车车身架构，如非承载式车身、铝制车身、一体化车身，打破了原标准中认知的车辆结构。与此同时，车辆维修技术相较以前也发生了变革，虽然事故车的认定在相关团体标准、地方标准有所了细化补充，但因为标准层阶的问题，仍存在不同地区车辆鉴定规范不统一，鉴定结果爆冷概率变大，已经不能顺应二手车在全国快速流通的趋势。特别是司法实践中，由于消费者和审判部门对于二手车行业的陌生，提起鉴定申请时措辞经常混淆了“事故车”和“重大事故车”，导致事故车可能去申请做重大事故车鉴定，最后认定不是重大事故车，对后续认定欺诈与否带来错误引导。所以，我们也是呼吁有关部门能够结合现在二手车的技术标准和新技术新车况，对《二手车鉴定评估技术规范》迭代升级，细化事故车认定的标准，以达到全国范围的统一。</w:t>
      </w:r>
    </w:p>
    <w:p w14:paraId="3634A6CD">
      <w:pPr>
        <w:keepNext w:val="0"/>
        <w:keepLines w:val="0"/>
        <w:pageBreakBefore w:val="0"/>
        <w:numPr>
          <w:ilvl w:val="0"/>
          <w:numId w:val="0"/>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default" w:ascii="Times New Roman" w:hAnsi="仿宋_GB2312" w:eastAsia="黑体" w:cs="仿宋_GB2312"/>
          <w:b/>
          <w:sz w:val="30"/>
          <w:szCs w:val="28"/>
          <w:highlight w:val="none"/>
          <w:lang w:val="en-US" w:eastAsia="zh-CN"/>
        </w:rPr>
      </w:pPr>
      <w:r>
        <w:rPr>
          <w:rFonts w:hint="eastAsia" w:ascii="Times New Roman" w:hAnsi="仿宋_GB2312" w:eastAsia="黑体" w:cs="仿宋_GB2312"/>
          <w:b/>
          <w:sz w:val="30"/>
          <w:szCs w:val="28"/>
          <w:highlight w:val="none"/>
          <w:lang w:val="en-US" w:eastAsia="zh-CN"/>
        </w:rPr>
        <w:t>（二）区分二手车交易经营者义务边际，据实界定欺诈行为</w:t>
      </w:r>
    </w:p>
    <w:p w14:paraId="48196CEE">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全国层面上内对于二手车交易规范要求一直存在缺位，甚至存在混淆，审判实务中部分存在二手车交易与新车交易采用同样尺度、同样标准的经营者义务要求，显然要尽快予以区分。所幸的是2017年5月1日起实施的《浙江省实施&lt;消费者权益保护法&gt;办法》中专门对二手车交易进行了规制，设定了二手车经营者的法定告知义务，可以作为参考，建议在全国层面上可以增设相关专项法规，体现对该行业的认知和关注。同时，经营者在二手车交易过程中的车况介绍，依照《浙江省实施&lt;消费者权益保护法&gt;办法》的要求，是要做到核查检测二手车的来源、行程里程、维修等情况，总结起来就是经营者对知道的告知，不知道也要告知，听上去是挺靠谱但实际上做到很难，因为这已经脱离了市场交易的初衷，这如同在销售二手车时不提的提供负面信息或风险提示，如此下来将会导致消费者对二手车交易的失望，换言之反而是打击了二手车交易市场，需要改变态度，改变看法，改变法规。</w:t>
      </w:r>
    </w:p>
    <w:p w14:paraId="4CE826E5">
      <w:pPr>
        <w:keepNext w:val="0"/>
        <w:keepLines w:val="0"/>
        <w:pageBreakBefore w:val="0"/>
        <w:numPr>
          <w:ilvl w:val="0"/>
          <w:numId w:val="0"/>
        </w:numPr>
        <w:kinsoku/>
        <w:wordWrap/>
        <w:overflowPunct/>
        <w:topLinePunct w:val="0"/>
        <w:autoSpaceDE/>
        <w:autoSpaceDN/>
        <w:bidi w:val="0"/>
        <w:adjustRightInd/>
        <w:snapToGrid/>
        <w:spacing w:before="260" w:beforeAutospacing="0" w:after="260" w:afterAutospacing="0" w:line="416" w:lineRule="auto"/>
        <w:ind w:left="0" w:leftChars="0" w:right="0" w:rightChars="0" w:firstLine="0" w:firstLineChars="0"/>
        <w:jc w:val="left"/>
        <w:textAlignment w:val="auto"/>
        <w:outlineLvl w:val="1"/>
        <w:rPr>
          <w:rFonts w:hint="eastAsia" w:ascii="Times New Roman" w:hAnsi="仿宋_GB2312" w:eastAsia="黑体" w:cs="仿宋_GB2312"/>
          <w:b/>
          <w:sz w:val="30"/>
          <w:szCs w:val="28"/>
          <w:highlight w:val="none"/>
          <w:lang w:val="en-US" w:eastAsia="zh-CN"/>
        </w:rPr>
      </w:pPr>
      <w:r>
        <w:rPr>
          <w:rFonts w:hint="eastAsia" w:ascii="Times New Roman" w:hAnsi="仿宋_GB2312" w:eastAsia="黑体" w:cs="仿宋_GB2312"/>
          <w:b/>
          <w:sz w:val="30"/>
          <w:szCs w:val="28"/>
          <w:highlight w:val="none"/>
          <w:lang w:val="en-US" w:eastAsia="zh-CN"/>
        </w:rPr>
        <w:t>（三）加快企业标准制定，规范交易流程，搭建二手车服务平台。</w:t>
      </w:r>
    </w:p>
    <w:p w14:paraId="71AB2638">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为推动高质量发展充分发挥标准化在国家治理体系和治理能力现代化建设中的基础性、战略性作用，2018年，市场监管总局等八部门发布了《关于实施企业标准“领跑者”制度的意见》，提出以企业标准自我声明公开为基础，建立实施企业标准“领跑者”制度。通过高水平标准引领，增加中高端产品和服务有效供给，支撑高质量发展的系列鼓励性政策。2023年6月，国家市场监督管理总局发布的《2023年度实施企业标准“领跑者”重点领域》公告中，将“汽车旧车零售”首次纳入“领跑者”重点领域。企业标准“领跑者”制度是通过高水平标准引领，增加中高端产品和服务有效供给，支撑高质量发展的鼓励性政策，对深化标准化工作改革、推动经济新旧动能转换、供给侧结构性改革和培育一批具有创新能力的排头兵企业具有重要作用。</w:t>
      </w:r>
    </w:p>
    <w:p w14:paraId="0EA9AA9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就二手车企业来说，随着汽车以旧换新政策加速释放需求，如何高效、规范地完成交易，让消费者放心、满意是当今二手车企业所面临的课题。企业标准化有益于提高企业效益、改进工作方法、提高企业核心竞争力。二手车企业亟需建立高水平标准，打造高质量服务，实现行业服务升级，增加中高端产品和服务的有效供给，提高二手车经销企业品牌竞争力，通过树立企业标准“领跑者”作为行业标杆，为二手车经销企业服务质量提升指明方向，推动企业标准自我声明公开全面落地，优化营商和市场竞争环境，培育一批具有创新能力的排头兵企业，促进二手车行业高质量发展。</w:t>
      </w:r>
    </w:p>
    <w:p w14:paraId="329E3B17">
      <w:pPr>
        <w:keepNext w:val="0"/>
        <w:keepLines w:val="0"/>
        <w:pageBreakBefore w:val="0"/>
        <w:numPr>
          <w:ilvl w:val="0"/>
          <w:numId w:val="0"/>
        </w:numPr>
        <w:kinsoku/>
        <w:wordWrap/>
        <w:overflowPunct/>
        <w:topLinePunct w:val="0"/>
        <w:autoSpaceDE/>
        <w:autoSpaceDN/>
        <w:bidi w:val="0"/>
        <w:adjustRightInd/>
        <w:snapToGrid/>
        <w:spacing w:before="340" w:beforeAutospacing="0" w:after="330" w:afterAutospacing="0" w:line="578" w:lineRule="auto"/>
        <w:ind w:left="0" w:leftChars="0" w:right="0" w:rightChars="0" w:firstLine="0" w:firstLineChars="0"/>
        <w:jc w:val="center"/>
        <w:textAlignment w:val="auto"/>
        <w:outlineLvl w:val="0"/>
        <w:rPr>
          <w:rFonts w:hint="eastAsia" w:ascii="Times New Roman" w:eastAsia="黑体"/>
          <w:b/>
          <w:sz w:val="36"/>
          <w:lang w:val="en-US" w:eastAsia="zh-CN"/>
        </w:rPr>
      </w:pPr>
      <w:r>
        <w:rPr>
          <w:rFonts w:hint="eastAsia" w:ascii="Times New Roman" w:eastAsia="黑体"/>
          <w:b/>
          <w:sz w:val="36"/>
          <w:lang w:val="en-US" w:eastAsia="zh-CN"/>
        </w:rPr>
        <w:t>五、结语</w:t>
      </w:r>
    </w:p>
    <w:p w14:paraId="32E1B53B">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default" w:ascii="仿宋" w:hAnsi="仿宋" w:eastAsia="仿宋" w:cs="仿宋"/>
          <w:kern w:val="2"/>
          <w:sz w:val="28"/>
          <w:szCs w:val="28"/>
          <w:u w:val="none"/>
          <w:lang w:val="en-US" w:eastAsia="zh-CN" w:bidi="ar-SA"/>
        </w:rPr>
      </w:pPr>
      <w:r>
        <w:rPr>
          <w:rFonts w:hint="eastAsia" w:ascii="仿宋" w:hAnsi="仿宋" w:eastAsia="仿宋" w:cs="仿宋"/>
          <w:kern w:val="2"/>
          <w:sz w:val="28"/>
          <w:szCs w:val="28"/>
          <w:u w:val="none"/>
          <w:lang w:val="en-US" w:eastAsia="zh-CN" w:bidi="ar-SA"/>
        </w:rPr>
        <w:t>二手车交易市场因交易流程不规范、不透明而被人诟病，造成消费者对二手车交易信任度不高，二手车买卖合同纠纷案件数量持续增长。通过对168份案件进行数据分析，笔者对二手车买卖合同纠纷案件中关于司法实践与二手车交易惯例中对经营者欺诈行为的理解偏差进行了剖析，重点分析了经营者信息披露义务的界定影响欺诈行为的认定，希望二手车交易过程经营者规范化发展，避免纠纷产生，提出了建议，以期二手车交易市场实现合规发展。</w:t>
      </w:r>
    </w:p>
    <w:p w14:paraId="012AA8D0">
      <w:pPr>
        <w:keepNext w:val="0"/>
        <w:keepLines w:val="0"/>
        <w:pageBreakBefore w:val="0"/>
        <w:kinsoku/>
        <w:wordWrap/>
        <w:overflowPunct/>
        <w:topLinePunct w:val="0"/>
        <w:autoSpaceDE/>
        <w:autoSpaceDN/>
        <w:bidi w:val="0"/>
        <w:adjustRightInd/>
        <w:snapToGrid/>
        <w:spacing w:beforeAutospacing="0" w:afterAutospacing="0" w:line="288" w:lineRule="auto"/>
        <w:ind w:left="0" w:leftChars="0" w:right="0" w:rightChars="0" w:firstLine="482" w:firstLineChars="0"/>
        <w:jc w:val="both"/>
        <w:textAlignment w:val="auto"/>
        <w:rPr>
          <w:rFonts w:hint="eastAsia" w:ascii="仿宋" w:hAnsi="仿宋" w:eastAsia="仿宋" w:cs="仿宋"/>
          <w:kern w:val="2"/>
          <w:sz w:val="28"/>
          <w:szCs w:val="28"/>
          <w:u w:val="none"/>
          <w:lang w:val="en-US" w:eastAsia="zh-CN" w:bidi="ar-SA"/>
        </w:rPr>
      </w:pPr>
    </w:p>
    <w:sectPr>
      <w:footerReference r:id="rId4" w:type="default"/>
      <w:endnotePr>
        <w:numFmt w:val="decimal"/>
      </w:endnotePr>
      <w:pgSz w:w="11906" w:h="16838"/>
      <w:pgMar w:top="1440" w:right="1800" w:bottom="1440" w:left="15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6">
    <w:p>
      <w:r>
        <w:separator/>
      </w:r>
    </w:p>
  </w:endnote>
  <w:endnote w:type="continuationSeparator" w:id="7">
    <w:p>
      <w:r>
        <w:continuationSeparator/>
      </w:r>
    </w:p>
  </w:endnote>
  <w:endnote w:id="0">
    <w:p w14:paraId="74E620B8">
      <w:pPr>
        <w:pStyle w:val="4"/>
        <w:snapToGrid w:val="0"/>
        <w:rPr>
          <w:rFonts w:hint="default" w:eastAsia="华文仿宋"/>
          <w:sz w:val="21"/>
          <w:szCs w:val="21"/>
          <w:lang w:val="en-US" w:eastAsia="zh-CN"/>
        </w:rPr>
      </w:pPr>
      <w:r>
        <w:rPr>
          <w:rStyle w:val="12"/>
          <w:sz w:val="21"/>
          <w:szCs w:val="21"/>
        </w:rPr>
        <w:endnoteRef/>
      </w:r>
      <w:r>
        <w:rPr>
          <w:sz w:val="21"/>
          <w:szCs w:val="21"/>
        </w:rPr>
        <w:t xml:space="preserve"> </w:t>
      </w:r>
      <w:r>
        <w:rPr>
          <w:rFonts w:hint="eastAsia"/>
          <w:sz w:val="21"/>
          <w:szCs w:val="21"/>
          <w:lang w:val="en-US" w:eastAsia="zh-CN"/>
        </w:rPr>
        <w:t>数据来源：中国汽车流通协会2024年7月11日发布的2024年6月二手车市场简析</w:t>
      </w:r>
    </w:p>
  </w:endnote>
  <w:endnote w:id="1">
    <w:p w14:paraId="5FE53E83">
      <w:pPr>
        <w:pStyle w:val="4"/>
        <w:snapToGrid w:val="0"/>
        <w:rPr>
          <w:rFonts w:hint="default"/>
          <w:sz w:val="21"/>
          <w:szCs w:val="21"/>
          <w:lang w:val="en-US" w:eastAsia="zh-CN"/>
        </w:rPr>
      </w:pPr>
      <w:r>
        <w:rPr>
          <w:rStyle w:val="12"/>
          <w:rFonts w:hint="eastAsia" w:ascii="Times New Roman" w:hAnsi="Times New Roman" w:eastAsia="宋体" w:cs="Times New Roman"/>
          <w:sz w:val="21"/>
          <w:szCs w:val="21"/>
          <w:vertAlign w:val="superscript"/>
          <w:lang w:val="en-US" w:eastAsia="zh-CN"/>
        </w:rPr>
        <w:endnoteRef/>
      </w:r>
      <w:r>
        <w:rPr>
          <w:rStyle w:val="12"/>
          <w:rFonts w:hint="eastAsia" w:ascii="Times New Roman" w:hAnsi="Times New Roman" w:eastAsia="宋体" w:cs="Times New Roman"/>
          <w:sz w:val="21"/>
          <w:szCs w:val="21"/>
          <w:vertAlign w:val="superscript"/>
          <w:lang w:val="en-US" w:eastAsia="zh-CN"/>
        </w:rPr>
        <w:t xml:space="preserve"> </w:t>
      </w:r>
      <w:r>
        <w:rPr>
          <w:rFonts w:hint="eastAsia"/>
          <w:sz w:val="21"/>
          <w:szCs w:val="21"/>
          <w:lang w:val="en-US" w:eastAsia="zh-CN"/>
        </w:rPr>
        <w:t>中国汽车流通协会组编:《二手车鉴定评估基础与入门》,机械工业出版社2021年版361页</w:t>
      </w:r>
    </w:p>
  </w:endnote>
  <w:endnote w:id="2">
    <w:p w14:paraId="1E360F0F">
      <w:pPr>
        <w:pStyle w:val="4"/>
        <w:snapToGrid w:val="0"/>
        <w:rPr>
          <w:rFonts w:hint="eastAsia"/>
          <w:sz w:val="21"/>
          <w:szCs w:val="21"/>
          <w:lang w:val="en-US" w:eastAsia="zh-CN"/>
        </w:rPr>
      </w:pPr>
      <w:r>
        <w:rPr>
          <w:rStyle w:val="12"/>
          <w:rFonts w:hint="eastAsia" w:ascii="Times New Roman" w:hAnsi="Times New Roman" w:eastAsia="宋体" w:cs="Times New Roman"/>
          <w:sz w:val="21"/>
          <w:szCs w:val="21"/>
          <w:vertAlign w:val="superscript"/>
          <w:lang w:val="en-US" w:eastAsia="zh-CN"/>
        </w:rPr>
        <w:endnoteRef/>
      </w:r>
      <w:r>
        <w:rPr>
          <w:rStyle w:val="12"/>
          <w:rFonts w:hint="eastAsia" w:ascii="Times New Roman" w:hAnsi="Times New Roman" w:eastAsia="宋体" w:cs="Times New Roman"/>
          <w:sz w:val="21"/>
          <w:szCs w:val="21"/>
          <w:vertAlign w:val="superscript"/>
          <w:lang w:val="en-US" w:eastAsia="zh-CN"/>
        </w:rPr>
        <w:t xml:space="preserve"> </w:t>
      </w:r>
      <w:r>
        <w:rPr>
          <w:rFonts w:hint="eastAsia"/>
          <w:sz w:val="21"/>
          <w:szCs w:val="21"/>
          <w:lang w:val="en-US" w:eastAsia="zh-CN"/>
        </w:rPr>
        <w:t>中国汽车流通协会组编:《二手车鉴定评估基础与入门》,机械工业出版社2021年版362页</w:t>
      </w:r>
    </w:p>
    <w:p w14:paraId="0F1E42A8">
      <w:pPr>
        <w:pStyle w:val="4"/>
        <w:snapToGrid w:val="0"/>
        <w:rPr>
          <w:rFonts w:hint="default"/>
          <w:sz w:val="21"/>
          <w:szCs w:val="21"/>
          <w:lang w:val="en-US" w:eastAsia="zh-CN"/>
        </w:rPr>
      </w:pPr>
    </w:p>
    <w:p w14:paraId="5E3DF61E">
      <w:pPr>
        <w:pStyle w:val="4"/>
        <w:snapToGrid w:val="0"/>
      </w:pPr>
    </w:p>
    <w:p w14:paraId="35F63711">
      <w:pPr>
        <w:pStyle w:val="4"/>
        <w:snapToGrid w:val="0"/>
      </w:pPr>
    </w:p>
    <w:p w14:paraId="393DC300">
      <w:pPr>
        <w:pStyle w:val="4"/>
        <w:snapToGrid w:val="0"/>
      </w:pPr>
    </w:p>
    <w:p w14:paraId="10E4AC8E">
      <w:pPr>
        <w:pStyle w:val="4"/>
        <w:snapToGrid w:val="0"/>
      </w:pPr>
      <w:bookmarkStart w:id="0" w:name="_GoBack"/>
      <w:bookmarkEnd w:id="0"/>
    </w:p>
    <w:p w14:paraId="4014B172">
      <w:pPr>
        <w:pStyle w:val="4"/>
        <w:snapToGrid w:val="0"/>
        <w:rPr>
          <w:rFonts w:hint="eastAsia"/>
          <w:lang w:eastAsia="zh-CN"/>
        </w:rPr>
      </w:pPr>
      <w:r>
        <w:rPr>
          <w:rFonts w:hint="eastAsia"/>
          <w:lang w:eastAsia="zh-CN"/>
        </w:rPr>
        <w:t>【</w:t>
      </w:r>
      <w:r>
        <w:rPr>
          <w:rFonts w:hint="eastAsia"/>
          <w:lang w:val="en-US" w:eastAsia="zh-CN"/>
        </w:rPr>
        <w:t>参考文献</w:t>
      </w:r>
      <w:r>
        <w:rPr>
          <w:rFonts w:hint="eastAsia"/>
          <w:lang w:eastAsia="zh-CN"/>
        </w:rPr>
        <w:t>】</w:t>
      </w:r>
    </w:p>
    <w:p w14:paraId="43B9BFD0">
      <w:pPr>
        <w:pStyle w:val="4"/>
        <w:numPr>
          <w:ilvl w:val="0"/>
          <w:numId w:val="1"/>
        </w:numPr>
        <w:snapToGrid w:val="0"/>
        <w:rPr>
          <w:rFonts w:hint="eastAsia"/>
          <w:lang w:val="en-US" w:eastAsia="zh-CN"/>
        </w:rPr>
      </w:pPr>
      <w:r>
        <w:rPr>
          <w:rFonts w:hint="eastAsia"/>
          <w:lang w:val="en-US" w:eastAsia="zh-CN"/>
        </w:rPr>
        <w:fldChar w:fldCharType="begin"/>
      </w:r>
      <w:r>
        <w:rPr>
          <w:rFonts w:hint="eastAsia"/>
          <w:lang w:val="en-US" w:eastAsia="zh-CN"/>
        </w:rPr>
        <w:instrText xml:space="preserve"> HYPERLINK "javascript:void(0)" </w:instrText>
      </w:r>
      <w:r>
        <w:rPr>
          <w:rFonts w:hint="eastAsia"/>
          <w:lang w:val="en-US" w:eastAsia="zh-CN"/>
        </w:rPr>
        <w:fldChar w:fldCharType="separate"/>
      </w:r>
      <w:r>
        <w:rPr>
          <w:rFonts w:hint="eastAsia"/>
          <w:lang w:val="en-US" w:eastAsia="zh-CN"/>
        </w:rPr>
        <w:t>程曦</w:t>
      </w:r>
      <w:r>
        <w:rPr>
          <w:rFonts w:hint="eastAsia"/>
          <w:lang w:val="en-US" w:eastAsia="zh-CN"/>
        </w:rPr>
        <w:fldChar w:fldCharType="end"/>
      </w:r>
      <w:r>
        <w:rPr>
          <w:rFonts w:hint="eastAsia"/>
          <w:lang w:val="en-US" w:eastAsia="zh-CN"/>
        </w:rPr>
        <w:t>：《</w:t>
      </w:r>
      <w:r>
        <w:rPr>
          <w:rFonts w:hint="eastAsia"/>
          <w:lang w:val="en-US" w:eastAsia="zh-CN"/>
        </w:rPr>
        <w:fldChar w:fldCharType="begin"/>
      </w:r>
      <w:r>
        <w:rPr>
          <w:rFonts w:hint="eastAsia"/>
          <w:lang w:val="en-US" w:eastAsia="zh-CN"/>
        </w:rPr>
        <w:instrText xml:space="preserve"> HYPERLINK "http://interlibsso.wzlib.cn/interlibSSO/goto/127/+jmr9bmjh9mds/kcms2/article/abstract?v=hyVvMdIOuYDDGR2EM8RV1IQec4KwATP-uv9vgU6GAzahCcLxGNiZ6cWriLAW75SdQmQ7sd_CuZq01QdCGmqYvTxIk8XP-OGkyCEkIuuRQnXe-kUHAp-06LKS1xNmr0OsMn2r4U-EAU3K3DgPl9_mVwSuqjeDm6R0nazXkv7JvEcn4XbFdB-jWvgqKMvFlC9SNATS9k-HsJJn8D8y7c8TaA==&amp;uniplatform=NZKPT&amp;language=CHS" \t "http://interlibsso.wzlib.cn/interlibSSO/goto/127/+jmr9bmjh9mds/kns8s/defaultresult/_blank" </w:instrText>
      </w:r>
      <w:r>
        <w:rPr>
          <w:rFonts w:hint="eastAsia"/>
          <w:lang w:val="en-US" w:eastAsia="zh-CN"/>
        </w:rPr>
        <w:fldChar w:fldCharType="separate"/>
      </w:r>
      <w:r>
        <w:rPr>
          <w:rFonts w:hint="eastAsia"/>
          <w:lang w:val="en-US" w:eastAsia="zh-CN"/>
        </w:rPr>
        <w:t>二手车鉴定评估与交易</w:t>
      </w:r>
      <w:r>
        <w:rPr>
          <w:rFonts w:hint="eastAsia"/>
          <w:lang w:val="en-US" w:eastAsia="zh-CN"/>
        </w:rPr>
        <w:fldChar w:fldCharType="end"/>
      </w:r>
      <w:r>
        <w:rPr>
          <w:rFonts w:hint="eastAsia"/>
          <w:lang w:val="en-US" w:eastAsia="zh-CN"/>
        </w:rPr>
        <w:t>》，重庆大学出版社2014年。</w:t>
      </w:r>
    </w:p>
    <w:p w14:paraId="3C43937A">
      <w:pPr>
        <w:pStyle w:val="4"/>
        <w:numPr>
          <w:ilvl w:val="0"/>
          <w:numId w:val="1"/>
        </w:numPr>
        <w:snapToGrid w:val="0"/>
        <w:rPr>
          <w:rFonts w:hint="eastAsia"/>
          <w:lang w:val="en-US" w:eastAsia="zh-CN"/>
        </w:rPr>
      </w:pPr>
      <w:r>
        <w:rPr>
          <w:rFonts w:hint="eastAsia"/>
          <w:lang w:val="en-US" w:eastAsia="zh-CN"/>
        </w:rPr>
        <w:fldChar w:fldCharType="begin"/>
      </w:r>
      <w:r>
        <w:rPr>
          <w:rFonts w:hint="eastAsia"/>
          <w:lang w:val="en-US" w:eastAsia="zh-CN"/>
        </w:rPr>
        <w:instrText xml:space="preserve"> HYPERLINK "http://interlibsso.wzlib.cn/interlibSSO/goto/127/+jmr9bmjh9mds/kcms2/author/detail?v=hyVvMdIOuYC1tYq99sh1zMJC12ScaBWCly8BXO3Cbvoei8PWI7WcOR935vhfbn_YUflxw0ZJraOEfDs7AGtBAdbENQMJOLBxs2t8NII0zPoAKtCSSxMVYryCou3m2Tck&amp;uniplatform=NZKPT&amp;language=CHS" \t "http://interlibsso.wzlib.cn/interlibSSO/goto/127/+jmr9bmjh9mds/kcms2/article/_blank" </w:instrText>
      </w:r>
      <w:r>
        <w:rPr>
          <w:rFonts w:hint="eastAsia"/>
          <w:lang w:val="en-US" w:eastAsia="zh-CN"/>
        </w:rPr>
        <w:fldChar w:fldCharType="separate"/>
      </w:r>
      <w:r>
        <w:rPr>
          <w:rFonts w:hint="eastAsia"/>
          <w:lang w:val="en-US" w:eastAsia="zh-CN"/>
        </w:rPr>
        <w:t>王治山</w:t>
      </w:r>
      <w:r>
        <w:rPr>
          <w:rFonts w:hint="eastAsia"/>
          <w:lang w:val="en-US" w:eastAsia="zh-CN"/>
        </w:rPr>
        <w:fldChar w:fldCharType="end"/>
      </w:r>
      <w:r>
        <w:rPr>
          <w:rFonts w:hint="eastAsia"/>
          <w:lang w:val="en-US" w:eastAsia="zh-CN"/>
        </w:rPr>
        <w:t>：《二手车市场蓄力待发，步入快速增长轨道》，《商业观察》2024年7期。</w:t>
      </w:r>
    </w:p>
    <w:p w14:paraId="51B097BF">
      <w:pPr>
        <w:pStyle w:val="4"/>
        <w:numPr>
          <w:ilvl w:val="0"/>
          <w:numId w:val="1"/>
        </w:numPr>
        <w:snapToGrid w:val="0"/>
        <w:rPr>
          <w:rFonts w:hint="eastAsia"/>
          <w:lang w:val="en-US" w:eastAsia="zh-CN"/>
        </w:rPr>
      </w:pPr>
      <w:r>
        <w:rPr>
          <w:rFonts w:hint="eastAsia"/>
          <w:lang w:val="en-US" w:eastAsia="zh-CN"/>
        </w:rPr>
        <w:t>李林：《</w:t>
      </w:r>
      <w:r>
        <w:rPr>
          <w:rFonts w:hint="eastAsia"/>
          <w:lang w:val="en-US" w:eastAsia="zh-CN"/>
        </w:rPr>
        <w:fldChar w:fldCharType="begin"/>
      </w:r>
      <w:r>
        <w:rPr>
          <w:rFonts w:hint="eastAsia"/>
          <w:lang w:val="en-US" w:eastAsia="zh-CN"/>
        </w:rPr>
        <w:instrText xml:space="preserve"> HYPERLINK "http://interlibsso.wzlib.cn/interlibSSO/goto/127/+jmr9bmjh9mds/kcms2/article/abstract?v=hyVvMdIOuYAxtUtwzMNr27qPeYt3deScc3Q5ohFdn9Bz4C4YJ_BllWty6lsmPXlqjKsHCM8k6axry5xqX5WPfkwirNA2igsLPo24F4MF4a-UXOKmA3l4yVMbPS3Njvm30Ta-PTfgZj7KCIvczJt0Su9C1u3LothVRp854VMWHsSvMY8ZaMtr5cN7t0eZ7y5wk4fhJ65XRb4=&amp;uniplatform=NZKPT&amp;language=CHS" \t "http://interlibsso.wzlib.cn/interlibSSO/goto/127/+jmr9bmjh9mds/kns8s/defaultresult/_blank" </w:instrText>
      </w:r>
      <w:r>
        <w:rPr>
          <w:rFonts w:hint="eastAsia"/>
          <w:lang w:val="en-US" w:eastAsia="zh-CN"/>
        </w:rPr>
        <w:fldChar w:fldCharType="separate"/>
      </w:r>
      <w:r>
        <w:rPr>
          <w:rFonts w:hint="eastAsia"/>
          <w:lang w:val="en-US" w:eastAsia="zh-CN"/>
        </w:rPr>
        <w:t>二手车交易维权之争</w:t>
      </w:r>
      <w:r>
        <w:rPr>
          <w:rFonts w:hint="eastAsia"/>
          <w:lang w:val="en-US" w:eastAsia="zh-CN"/>
        </w:rPr>
        <w:fldChar w:fldCharType="end"/>
      </w:r>
      <w:r>
        <w:rPr>
          <w:rFonts w:hint="eastAsia"/>
          <w:lang w:val="en-US" w:eastAsia="zh-CN"/>
        </w:rPr>
        <w:t>》，《检察风云》2020年3期。</w:t>
      </w:r>
    </w:p>
    <w:p w14:paraId="4F96F36B">
      <w:pPr>
        <w:pStyle w:val="4"/>
        <w:numPr>
          <w:ilvl w:val="0"/>
          <w:numId w:val="1"/>
        </w:numPr>
        <w:snapToGrid w:val="0"/>
        <w:rPr>
          <w:rFonts w:hint="eastAsia"/>
          <w:lang w:val="en-US" w:eastAsia="zh-CN"/>
        </w:rPr>
      </w:pPr>
      <w:r>
        <w:rPr>
          <w:rFonts w:hint="eastAsia"/>
          <w:lang w:val="en-US" w:eastAsia="zh-CN"/>
        </w:rPr>
        <w:t>郝文丽：《</w:t>
      </w:r>
      <w:r>
        <w:rPr>
          <w:rFonts w:hint="eastAsia"/>
          <w:lang w:val="en-US" w:eastAsia="zh-CN"/>
        </w:rPr>
        <w:fldChar w:fldCharType="begin"/>
      </w:r>
      <w:r>
        <w:rPr>
          <w:rFonts w:hint="eastAsia"/>
          <w:lang w:val="en-US" w:eastAsia="zh-CN"/>
        </w:rPr>
        <w:instrText xml:space="preserve"> HYPERLINK "http://interlibsso.wzlib.cn/interlibSSO/goto/127/+jmr9bmjh9mds/kcms2/article/abstract?v=hyVvMdIOuYBWMKEObns9EDqSbFbRXsliqG27QwbPE6HgW-0IDU7aMjVOhuy3r2knw1br7a9LGR5jQhTxsCmW05ONknT4CIoYFA94H4LnflfrsgHOPTJuKGoQ4XPX1oAGL1R-flWgu3571uFwOtWjhByuRP0cpZtd04lGjwy-ZMG4sEDlQ-D7PCE0Vrdb00frKujKaTkk6dZxNPGza9OLmOmj_2AxMj1q&amp;uniplatform=NZKPT&amp;language=CHS" \t "http://interlibsso.wzlib.cn/interlibSSO/goto/127/+jmr9bmjh9mds/kns8s/defaultresult/_blank" </w:instrText>
      </w:r>
      <w:r>
        <w:rPr>
          <w:rFonts w:hint="eastAsia"/>
          <w:lang w:val="en-US" w:eastAsia="zh-CN"/>
        </w:rPr>
        <w:fldChar w:fldCharType="separate"/>
      </w:r>
      <w:r>
        <w:rPr>
          <w:rFonts w:hint="eastAsia"/>
          <w:lang w:val="en-US" w:eastAsia="zh-CN"/>
        </w:rPr>
        <w:t>二手车“水深”治得怎么样</w:t>
      </w:r>
      <w:r>
        <w:rPr>
          <w:rFonts w:hint="eastAsia"/>
          <w:lang w:val="en-US" w:eastAsia="zh-CN"/>
        </w:rPr>
        <w:fldChar w:fldCharType="end"/>
      </w:r>
      <w:r>
        <w:rPr>
          <w:rFonts w:hint="eastAsia"/>
          <w:lang w:val="en-US" w:eastAsia="zh-CN"/>
        </w:rPr>
        <w:t>》，《中国汽车报》2024年底3期。</w:t>
      </w:r>
    </w:p>
    <w:p w14:paraId="206F8403">
      <w:pPr>
        <w:pStyle w:val="4"/>
        <w:snapToGrid w:val="0"/>
        <w:rPr>
          <w:rFonts w:hint="default"/>
          <w:lang w:val="en-US" w:eastAsia="zh-C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89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4A65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74A65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2AF25"/>
    <w:multiLevelType w:val="singleLevel"/>
    <w:tmpl w:val="BFD2AF25"/>
    <w:lvl w:ilvl="0" w:tentative="0">
      <w:start w:val="2"/>
      <w:numFmt w:val="chineseCounting"/>
      <w:suff w:val="nothing"/>
      <w:lvlText w:val="（%1）"/>
      <w:lvlJc w:val="left"/>
      <w:rPr>
        <w:rFonts w:hint="eastAsia"/>
      </w:rPr>
    </w:lvl>
  </w:abstractNum>
  <w:abstractNum w:abstractNumId="1">
    <w:nsid w:val="DF8FBA34"/>
    <w:multiLevelType w:val="singleLevel"/>
    <w:tmpl w:val="DF8FBA34"/>
    <w:lvl w:ilvl="0" w:tentative="0">
      <w:start w:val="1"/>
      <w:numFmt w:val="chineseCounting"/>
      <w:suff w:val="nothing"/>
      <w:lvlText w:val="%1、"/>
      <w:lvlJc w:val="left"/>
      <w:rPr>
        <w:rFonts w:hint="eastAsia"/>
      </w:rPr>
    </w:lvl>
  </w:abstractNum>
  <w:abstractNum w:abstractNumId="2">
    <w:nsid w:val="F77E5081"/>
    <w:multiLevelType w:val="singleLevel"/>
    <w:tmpl w:val="F77E5081"/>
    <w:lvl w:ilvl="0" w:tentative="0">
      <w:start w:val="1"/>
      <w:numFmt w:val="chineseCounting"/>
      <w:suff w:val="nothing"/>
      <w:lvlText w:val="（%1）"/>
      <w:lvlJc w:val="left"/>
      <w:rPr>
        <w:rFonts w:hint="eastAsia"/>
      </w:rPr>
    </w:lvl>
  </w:abstractNum>
  <w:abstractNum w:abstractNumId="3">
    <w:nsid w:val="617EF054"/>
    <w:multiLevelType w:val="singleLevel"/>
    <w:tmpl w:val="617EF054"/>
    <w:lvl w:ilvl="0" w:tentative="0">
      <w:start w:val="1"/>
      <w:numFmt w:val="decimal"/>
      <w:suff w:val="space"/>
      <w:lvlText w:val="[%1]"/>
      <w:lvlJc w:val="left"/>
    </w:lvl>
  </w:abstractNum>
  <w:abstractNum w:abstractNumId="4">
    <w:nsid w:val="77969697"/>
    <w:multiLevelType w:val="singleLevel"/>
    <w:tmpl w:val="77969697"/>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 w:id="6"/>
    <w:endnote w:id="7"/>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NWVlY2ZlMDJkN2MyNmY1YTY4MjRiZmVmMDg0ZjcifQ=="/>
  </w:docVars>
  <w:rsids>
    <w:rsidRoot w:val="7FF78ED0"/>
    <w:rsid w:val="00796698"/>
    <w:rsid w:val="13FD7AD9"/>
    <w:rsid w:val="17BD1926"/>
    <w:rsid w:val="1CB07F9C"/>
    <w:rsid w:val="29B63CA0"/>
    <w:rsid w:val="377E2A07"/>
    <w:rsid w:val="3DFFB034"/>
    <w:rsid w:val="3F1FC77E"/>
    <w:rsid w:val="3FFFFA7C"/>
    <w:rsid w:val="40BE3BD7"/>
    <w:rsid w:val="46EDD62D"/>
    <w:rsid w:val="5DB66F3E"/>
    <w:rsid w:val="5DE673D2"/>
    <w:rsid w:val="5FEF2DA3"/>
    <w:rsid w:val="65855355"/>
    <w:rsid w:val="68BD241B"/>
    <w:rsid w:val="697D99A0"/>
    <w:rsid w:val="6A6B3ECE"/>
    <w:rsid w:val="6EE75754"/>
    <w:rsid w:val="76240F40"/>
    <w:rsid w:val="77591976"/>
    <w:rsid w:val="795F3F1C"/>
    <w:rsid w:val="7EB7E473"/>
    <w:rsid w:val="7F76A828"/>
    <w:rsid w:val="7FF78ED0"/>
    <w:rsid w:val="9FDF4003"/>
    <w:rsid w:val="B5E94EE9"/>
    <w:rsid w:val="BEB2466D"/>
    <w:rsid w:val="C446A744"/>
    <w:rsid w:val="C7BDCE4A"/>
    <w:rsid w:val="D8DD690D"/>
    <w:rsid w:val="DB9D30EA"/>
    <w:rsid w:val="DE925B5A"/>
    <w:rsid w:val="DFFE870D"/>
    <w:rsid w:val="E5FBC26D"/>
    <w:rsid w:val="EBCD5012"/>
    <w:rsid w:val="F25CBCBF"/>
    <w:rsid w:val="F5F91AF1"/>
    <w:rsid w:val="FADF10A8"/>
    <w:rsid w:val="FDBF968F"/>
    <w:rsid w:val="FF6D9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华文仿宋" w:asciiTheme="minorAscii" w:hAnsiTheme="minorAscii" w:cstheme="minorBidi"/>
      <w:kern w:val="2"/>
      <w:sz w:val="28"/>
      <w:szCs w:val="24"/>
      <w:lang w:val="en-US" w:eastAsia="zh-CN" w:bidi="ar-SA"/>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endnote text"/>
    <w:basedOn w:val="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ndnote reference"/>
    <w:basedOn w:val="10"/>
    <w:qFormat/>
    <w:uiPriority w:val="0"/>
    <w:rPr>
      <w:vertAlign w:val="superscript"/>
    </w:rPr>
  </w:style>
  <w:style w:type="character" w:styleId="13">
    <w:name w:val="Hyperlink"/>
    <w:basedOn w:val="10"/>
    <w:qFormat/>
    <w:uiPriority w:val="0"/>
    <w:rPr>
      <w:color w:val="0000FF"/>
      <w:u w:val="single"/>
    </w:rPr>
  </w:style>
  <w:style w:type="paragraph" w:styleId="14">
    <w:name w:val="List Paragraph"/>
    <w:qFormat/>
    <w:uiPriority w:val="0"/>
    <w:rPr>
      <w:rFonts w:asciiTheme="minorHAnsi" w:hAnsiTheme="minorHAnsi" w:eastAsiaTheme="minorEastAsia" w:cstheme="minorBidi"/>
      <w:sz w:val="21"/>
      <w:szCs w:val="22"/>
    </w:rPr>
  </w:style>
  <w:style w:type="paragraph" w:customStyle="1" w:styleId="15">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bidi="ar"/>
    </w:rPr>
  </w:style>
  <w:style w:type="character" w:customStyle="1" w:styleId="16">
    <w:name w:val="s1"/>
    <w:basedOn w:val="10"/>
    <w:qFormat/>
    <w:uiPriority w:val="0"/>
    <w:rPr>
      <w:rFonts w:ascii="Helvetica Neue" w:hAnsi="Helvetica Neue" w:eastAsia="Helvetica Neue" w:cs="Helvetica Neue"/>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8446</Words>
  <Characters>8713</Characters>
  <Lines>0</Lines>
  <Paragraphs>0</Paragraphs>
  <TotalTime>8</TotalTime>
  <ScaleCrop>false</ScaleCrop>
  <LinksUpToDate>false</LinksUpToDate>
  <CharactersWithSpaces>8721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2024-07-19T09:09:00Z</dcterms:created>
  <dc:creator>tong</dc:creator>
  <cp:lastModifiedBy>kelawyer</cp:lastModifiedBy>
  <dcterms:modified xsi:type="dcterms:W3CDTF">2024-08-05T18:06:23Z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21F81F3A4BCE4B35AEFB9A681CA36BC1_13</vt:lpwstr>
  </property>
</Properties>
</file>