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CBE4" w14:textId="77777777" w:rsidR="00EC60DC" w:rsidRDefault="00000000">
      <w:pPr>
        <w:jc w:val="center"/>
        <w:rPr>
          <w:rFonts w:ascii="仿宋" w:eastAsia="仿宋" w:hAnsi="仿宋" w:cs="仿宋"/>
          <w:sz w:val="44"/>
          <w:szCs w:val="44"/>
        </w:rPr>
      </w:pPr>
      <w:r>
        <w:rPr>
          <w:rFonts w:ascii="仿宋" w:eastAsia="仿宋" w:hAnsi="仿宋" w:cs="仿宋" w:hint="eastAsia"/>
          <w:sz w:val="44"/>
          <w:szCs w:val="44"/>
        </w:rPr>
        <w:t>资源与环境保护法律资讯月刊</w:t>
      </w:r>
    </w:p>
    <w:p w14:paraId="5F3A68E9" w14:textId="06B56A69" w:rsidR="00EC60DC" w:rsidRDefault="00000000">
      <w:pPr>
        <w:jc w:val="center"/>
        <w:rPr>
          <w:rFonts w:ascii="仿宋" w:eastAsia="仿宋" w:hAnsi="仿宋" w:cs="仿宋"/>
          <w:sz w:val="28"/>
          <w:szCs w:val="28"/>
        </w:rPr>
      </w:pPr>
      <w:r>
        <w:rPr>
          <w:rFonts w:ascii="仿宋" w:eastAsia="仿宋" w:hAnsi="仿宋" w:cs="仿宋" w:hint="eastAsia"/>
          <w:sz w:val="28"/>
          <w:szCs w:val="28"/>
        </w:rPr>
        <w:t>（2024.</w:t>
      </w:r>
      <w:r w:rsidR="00E02353">
        <w:rPr>
          <w:rFonts w:ascii="仿宋" w:eastAsia="仿宋" w:hAnsi="仿宋" w:cs="仿宋"/>
          <w:sz w:val="28"/>
          <w:szCs w:val="28"/>
        </w:rPr>
        <w:t>10</w:t>
      </w:r>
      <w:r>
        <w:rPr>
          <w:rFonts w:ascii="仿宋" w:eastAsia="仿宋" w:hAnsi="仿宋" w:cs="仿宋" w:hint="eastAsia"/>
          <w:sz w:val="28"/>
          <w:szCs w:val="28"/>
        </w:rPr>
        <w:t>）</w:t>
      </w:r>
    </w:p>
    <w:p w14:paraId="3BC55906" w14:textId="77777777" w:rsidR="00EC60DC" w:rsidRDefault="00000000">
      <w:pPr>
        <w:jc w:val="left"/>
        <w:rPr>
          <w:rFonts w:ascii="仿宋" w:eastAsia="仿宋" w:hAnsi="仿宋" w:cs="仿宋"/>
          <w:sz w:val="36"/>
          <w:szCs w:val="36"/>
        </w:rPr>
      </w:pPr>
      <w:r>
        <w:rPr>
          <w:rFonts w:ascii="仿宋" w:eastAsia="仿宋" w:hAnsi="仿宋" w:cs="仿宋" w:hint="eastAsia"/>
          <w:sz w:val="36"/>
          <w:szCs w:val="36"/>
        </w:rPr>
        <w:t>资源板块</w:t>
      </w:r>
    </w:p>
    <w:p w14:paraId="78366413" w14:textId="77777777" w:rsidR="00EC60DC" w:rsidRDefault="00000000">
      <w:pPr>
        <w:jc w:val="center"/>
        <w:rPr>
          <w:rFonts w:ascii="仿宋" w:eastAsia="仿宋" w:hAnsi="仿宋" w:cs="仿宋"/>
          <w:b/>
          <w:bCs/>
          <w:sz w:val="36"/>
          <w:szCs w:val="36"/>
        </w:rPr>
      </w:pPr>
      <w:r>
        <w:rPr>
          <w:rFonts w:ascii="仿宋" w:eastAsia="仿宋" w:hAnsi="仿宋" w:cs="仿宋" w:hint="eastAsia"/>
          <w:b/>
          <w:bCs/>
          <w:sz w:val="36"/>
          <w:szCs w:val="36"/>
        </w:rPr>
        <w:t>立法资讯</w:t>
      </w:r>
    </w:p>
    <w:p w14:paraId="4AFD19A8" w14:textId="77777777" w:rsidR="00EC60DC" w:rsidRDefault="00EC60DC">
      <w:pPr>
        <w:pBdr>
          <w:top w:val="dotted" w:sz="12" w:space="0" w:color="D9D9D9"/>
        </w:pBdr>
        <w:spacing w:before="200"/>
        <w:rPr>
          <w:rFonts w:ascii="仿宋" w:eastAsia="仿宋" w:hAnsi="仿宋" w:cs="仿宋"/>
          <w:sz w:val="28"/>
          <w:szCs w:val="28"/>
        </w:rPr>
      </w:pPr>
    </w:p>
    <w:p w14:paraId="3F0ADBFF" w14:textId="24D78C09" w:rsidR="00EC60DC" w:rsidRPr="00ED591D" w:rsidRDefault="00000000">
      <w:pPr>
        <w:spacing w:before="20" w:after="20"/>
        <w:rPr>
          <w:rFonts w:ascii="仿宋" w:eastAsia="仿宋" w:hAnsi="仿宋" w:cs="仿宋"/>
          <w:b/>
          <w:bCs/>
          <w:sz w:val="28"/>
          <w:szCs w:val="28"/>
        </w:rPr>
      </w:pPr>
      <w:r>
        <w:rPr>
          <w:rFonts w:ascii="仿宋" w:eastAsia="仿宋" w:hAnsi="仿宋" w:cs="仿宋" w:hint="eastAsia"/>
          <w:b/>
          <w:bCs/>
          <w:sz w:val="28"/>
          <w:szCs w:val="28"/>
        </w:rPr>
        <w:t>1</w:t>
      </w:r>
      <w:r w:rsidR="00ED591D">
        <w:rPr>
          <w:rFonts w:ascii="仿宋" w:eastAsia="仿宋" w:hAnsi="仿宋" w:cs="仿宋" w:hint="eastAsia"/>
          <w:b/>
          <w:bCs/>
          <w:sz w:val="28"/>
          <w:szCs w:val="28"/>
        </w:rPr>
        <w:t>.</w:t>
      </w:r>
      <w:r w:rsidR="00ED591D">
        <w:rPr>
          <w:rFonts w:ascii="仿宋" w:eastAsia="仿宋" w:hAnsi="仿宋" w:cs="仿宋"/>
          <w:b/>
          <w:bCs/>
          <w:sz w:val="28"/>
          <w:szCs w:val="28"/>
        </w:rPr>
        <w:t xml:space="preserve"> </w:t>
      </w:r>
      <w:r w:rsidR="00E02353" w:rsidRPr="00E02353">
        <w:rPr>
          <w:rFonts w:ascii="仿宋" w:eastAsia="仿宋" w:hAnsi="仿宋" w:cs="仿宋" w:hint="eastAsia"/>
          <w:b/>
          <w:bCs/>
          <w:sz w:val="28"/>
          <w:szCs w:val="28"/>
        </w:rPr>
        <w:t>工信部印发《电力装备制造业数字化转型实施方案》</w:t>
      </w:r>
    </w:p>
    <w:p w14:paraId="752F3C77" w14:textId="77777777" w:rsidR="00E02353" w:rsidRPr="00E02353" w:rsidRDefault="00E02353" w:rsidP="00E02353">
      <w:pPr>
        <w:widowControl/>
        <w:spacing w:before="20" w:after="20"/>
        <w:ind w:firstLineChars="200" w:firstLine="560"/>
        <w:jc w:val="left"/>
        <w:rPr>
          <w:rFonts w:ascii="仿宋" w:eastAsia="仿宋" w:hAnsi="仿宋" w:cs="仿宋" w:hint="eastAsia"/>
          <w:sz w:val="28"/>
          <w:szCs w:val="28"/>
        </w:rPr>
      </w:pPr>
      <w:r w:rsidRPr="00E02353">
        <w:rPr>
          <w:rFonts w:ascii="仿宋" w:eastAsia="仿宋" w:hAnsi="仿宋" w:cs="仿宋" w:hint="eastAsia"/>
          <w:sz w:val="28"/>
          <w:szCs w:val="28"/>
        </w:rPr>
        <w:t>10月23日，工信部网站公布《关于印发&lt;电力装备制造业数字化转型实施方案&gt;的通知》。</w:t>
      </w:r>
    </w:p>
    <w:p w14:paraId="2F05DD99" w14:textId="2E1773A9" w:rsidR="00ED591D" w:rsidRPr="00E02353" w:rsidRDefault="00E02353" w:rsidP="00E02353">
      <w:pPr>
        <w:widowControl/>
        <w:spacing w:before="20" w:after="20"/>
        <w:ind w:firstLineChars="200" w:firstLine="560"/>
        <w:jc w:val="left"/>
        <w:rPr>
          <w:rFonts w:ascii="仿宋" w:eastAsia="仿宋" w:hAnsi="仿宋" w:cs="仿宋"/>
          <w:sz w:val="28"/>
          <w:szCs w:val="28"/>
        </w:rPr>
      </w:pPr>
      <w:r w:rsidRPr="00E02353">
        <w:rPr>
          <w:rFonts w:ascii="仿宋" w:eastAsia="仿宋" w:hAnsi="仿宋" w:cs="仿宋" w:hint="eastAsia"/>
          <w:sz w:val="28"/>
          <w:szCs w:val="28"/>
        </w:rPr>
        <w:t>《实施方案》计划到2027年，电力装备制造业数字化转型取得明显成效，电力装备制造业重点企业关键工序数控化率、数字化研发设计工具普及率分别超过75%、90%，建成15个左右国家级智能工厂、5家左右数字领航企业、10个左右5G工厂，建设3个左右电力装备制造数字化转型促进中心，培育10个左右特色专业型工业互联网平台、优秀解决方案服务商，并提出加快关键环节数字化转型、夯实数字化转型基础、构建数字化协同转型生态三方面13项重点任务。</w:t>
      </w:r>
    </w:p>
    <w:p w14:paraId="6BF1C235" w14:textId="77777777" w:rsidR="00ED591D" w:rsidRDefault="00ED591D" w:rsidP="00ED591D">
      <w:pPr>
        <w:widowControl/>
        <w:spacing w:before="20" w:after="20"/>
        <w:ind w:firstLineChars="200" w:firstLine="560"/>
        <w:jc w:val="left"/>
        <w:rPr>
          <w:rFonts w:ascii="仿宋" w:eastAsia="仿宋" w:hAnsi="仿宋" w:cs="仿宋" w:hint="eastAsia"/>
          <w:sz w:val="28"/>
          <w:szCs w:val="28"/>
        </w:rPr>
      </w:pPr>
      <w:r w:rsidRPr="00ED591D">
        <w:rPr>
          <w:rFonts w:ascii="仿宋" w:eastAsia="仿宋" w:hAnsi="仿宋" w:cs="仿宋" w:hint="eastAsia"/>
          <w:sz w:val="28"/>
          <w:szCs w:val="28"/>
        </w:rPr>
        <w:t>详细信息请登录 工信部</w:t>
      </w:r>
    </w:p>
    <w:p w14:paraId="73380D9E" w14:textId="6D464024" w:rsidR="00EC60DC" w:rsidRDefault="00E02353" w:rsidP="00ED591D">
      <w:pPr>
        <w:widowControl/>
        <w:spacing w:before="20" w:after="20"/>
        <w:ind w:firstLineChars="200" w:firstLine="560"/>
        <w:jc w:val="left"/>
        <w:rPr>
          <w:rFonts w:ascii="仿宋" w:eastAsia="仿宋" w:hAnsi="仿宋" w:cs="仿宋"/>
          <w:sz w:val="28"/>
          <w:szCs w:val="28"/>
        </w:rPr>
      </w:pPr>
      <w:r w:rsidRPr="00E02353">
        <w:rPr>
          <w:rFonts w:ascii="仿宋" w:eastAsia="仿宋" w:hAnsi="仿宋" w:cs="仿宋"/>
          <w:sz w:val="28"/>
          <w:szCs w:val="28"/>
        </w:rPr>
        <w:t>https://www.miit.gov.cn/zwgk/zcwj/wjfb/tz/art/2024/art_662de8b83c21435b8834e929e1e7daa5.html</w:t>
      </w:r>
    </w:p>
    <w:p w14:paraId="04388B1F" w14:textId="77777777" w:rsidR="00ED591D" w:rsidRPr="00E02353" w:rsidRDefault="00ED591D" w:rsidP="00ED591D">
      <w:pPr>
        <w:widowControl/>
        <w:spacing w:before="20" w:after="20"/>
        <w:ind w:firstLineChars="200" w:firstLine="560"/>
        <w:jc w:val="left"/>
        <w:rPr>
          <w:rFonts w:ascii="仿宋" w:eastAsia="仿宋" w:hAnsi="仿宋" w:cs="仿宋"/>
          <w:sz w:val="28"/>
          <w:szCs w:val="28"/>
        </w:rPr>
      </w:pPr>
    </w:p>
    <w:p w14:paraId="51192150" w14:textId="1A624FB9" w:rsidR="00E02353" w:rsidRPr="001266CD" w:rsidRDefault="00ED591D" w:rsidP="00E02353">
      <w:pPr>
        <w:spacing w:before="20" w:after="20"/>
        <w:rPr>
          <w:rFonts w:ascii="仿宋" w:eastAsia="仿宋" w:hAnsi="仿宋" w:cs="仿宋"/>
          <w:b/>
          <w:bCs/>
          <w:sz w:val="28"/>
          <w:szCs w:val="28"/>
        </w:rPr>
      </w:pPr>
      <w:r>
        <w:rPr>
          <w:rFonts w:ascii="仿宋" w:eastAsia="仿宋" w:hAnsi="仿宋" w:cs="仿宋" w:hint="eastAsia"/>
          <w:b/>
          <w:bCs/>
          <w:sz w:val="28"/>
          <w:szCs w:val="28"/>
        </w:rPr>
        <w:t>2.</w:t>
      </w:r>
      <w:r>
        <w:rPr>
          <w:rFonts w:ascii="仿宋" w:eastAsia="仿宋" w:hAnsi="仿宋" w:cs="仿宋"/>
          <w:b/>
          <w:bCs/>
          <w:sz w:val="28"/>
          <w:szCs w:val="28"/>
        </w:rPr>
        <w:t xml:space="preserve"> </w:t>
      </w:r>
      <w:r w:rsidR="001266CD" w:rsidRPr="001266CD">
        <w:rPr>
          <w:rFonts w:ascii="仿宋" w:eastAsia="仿宋" w:hAnsi="仿宋" w:cs="仿宋" w:hint="eastAsia"/>
          <w:b/>
          <w:bCs/>
          <w:sz w:val="28"/>
          <w:szCs w:val="28"/>
        </w:rPr>
        <w:t>北京印发《碳排放权交易市场碳排放配额有偿竞价发放和回购管理办法》</w:t>
      </w:r>
    </w:p>
    <w:p w14:paraId="10B93B54" w14:textId="77777777" w:rsidR="001266CD" w:rsidRPr="001266CD" w:rsidRDefault="001266CD" w:rsidP="001266CD">
      <w:pPr>
        <w:widowControl/>
        <w:spacing w:before="20" w:after="20"/>
        <w:ind w:firstLineChars="200" w:firstLine="560"/>
        <w:jc w:val="left"/>
        <w:rPr>
          <w:rFonts w:ascii="仿宋" w:eastAsia="仿宋" w:hAnsi="仿宋" w:cs="仿宋" w:hint="eastAsia"/>
          <w:sz w:val="28"/>
          <w:szCs w:val="28"/>
        </w:rPr>
      </w:pPr>
      <w:r w:rsidRPr="001266CD">
        <w:rPr>
          <w:rFonts w:ascii="仿宋" w:eastAsia="仿宋" w:hAnsi="仿宋" w:cs="仿宋" w:hint="eastAsia"/>
          <w:sz w:val="28"/>
          <w:szCs w:val="28"/>
        </w:rPr>
        <w:lastRenderedPageBreak/>
        <w:t>近日，北京市政府网站公布《关于印发&lt;北京市碳排放权交易市场碳排放配额有偿竞价发放和回购管理办法&gt;的通知》。</w:t>
      </w:r>
    </w:p>
    <w:p w14:paraId="1EFF6E5D" w14:textId="77777777" w:rsidR="001266CD" w:rsidRPr="001266CD" w:rsidRDefault="001266CD" w:rsidP="001266CD">
      <w:pPr>
        <w:widowControl/>
        <w:spacing w:before="20" w:after="20"/>
        <w:ind w:firstLineChars="200" w:firstLine="560"/>
        <w:jc w:val="left"/>
        <w:rPr>
          <w:rFonts w:ascii="仿宋" w:eastAsia="仿宋" w:hAnsi="仿宋" w:cs="仿宋" w:hint="eastAsia"/>
          <w:sz w:val="28"/>
          <w:szCs w:val="28"/>
        </w:rPr>
      </w:pPr>
      <w:r w:rsidRPr="001266CD">
        <w:rPr>
          <w:rFonts w:ascii="仿宋" w:eastAsia="仿宋" w:hAnsi="仿宋" w:cs="仿宋" w:hint="eastAsia"/>
          <w:sz w:val="28"/>
          <w:szCs w:val="28"/>
        </w:rPr>
        <w:t>《办法》共四章二十四条，明确碳排放配额有偿竞价发放、碳排放配额回购等方面的有关规定。其中，交易主体包括重点碳排放单位及自愿参与交易的单位。市生态环境部门会提前发布碳排放配额有偿竞价发放通告，并组织注册登记机构、交易机构进行审核。单个重点碳排放单位可申请竞买的配额数量不得超过该次有偿竞价发放总量的15%，单个自愿参与交易的单位可申请竞买的配额数量不得超过该次有偿竞价发放总量的3%。</w:t>
      </w:r>
    </w:p>
    <w:p w14:paraId="4B72EE09" w14:textId="77777777" w:rsidR="001266CD" w:rsidRDefault="001266CD" w:rsidP="001266CD">
      <w:pPr>
        <w:widowControl/>
        <w:spacing w:before="20" w:after="20"/>
        <w:ind w:firstLineChars="200" w:firstLine="560"/>
        <w:jc w:val="left"/>
        <w:rPr>
          <w:rFonts w:ascii="仿宋" w:eastAsia="仿宋" w:hAnsi="仿宋" w:cs="仿宋"/>
          <w:sz w:val="28"/>
          <w:szCs w:val="28"/>
        </w:rPr>
      </w:pPr>
      <w:r w:rsidRPr="001266CD">
        <w:rPr>
          <w:rFonts w:ascii="仿宋" w:eastAsia="仿宋" w:hAnsi="仿宋" w:cs="仿宋" w:hint="eastAsia"/>
          <w:sz w:val="28"/>
          <w:szCs w:val="28"/>
        </w:rPr>
        <w:t>详细信息请登录 北京市政府</w:t>
      </w:r>
    </w:p>
    <w:p w14:paraId="095042B7" w14:textId="2EC15F54" w:rsidR="00ED591D" w:rsidRDefault="001266CD" w:rsidP="001266CD">
      <w:pPr>
        <w:widowControl/>
        <w:spacing w:before="20" w:after="20"/>
        <w:ind w:firstLineChars="200" w:firstLine="560"/>
        <w:jc w:val="left"/>
        <w:rPr>
          <w:rFonts w:ascii="仿宋" w:eastAsia="仿宋" w:hAnsi="仿宋" w:cs="仿宋"/>
          <w:sz w:val="28"/>
          <w:szCs w:val="28"/>
        </w:rPr>
      </w:pPr>
      <w:r w:rsidRPr="001266CD">
        <w:rPr>
          <w:rFonts w:ascii="仿宋" w:eastAsia="仿宋" w:hAnsi="仿宋" w:cs="仿宋"/>
          <w:sz w:val="28"/>
          <w:szCs w:val="28"/>
        </w:rPr>
        <w:t>https://www.beijing.gov.cn/zhengce/zhengcefagui/202410/t20241015_3921133.html</w:t>
      </w:r>
    </w:p>
    <w:p w14:paraId="3AD7CC4A" w14:textId="77777777" w:rsidR="00ED591D" w:rsidRPr="00ED591D" w:rsidRDefault="00ED591D" w:rsidP="00ED591D">
      <w:pPr>
        <w:widowControl/>
        <w:spacing w:before="20" w:after="20"/>
        <w:ind w:firstLineChars="200" w:firstLine="560"/>
        <w:jc w:val="left"/>
        <w:rPr>
          <w:rFonts w:ascii="仿宋" w:eastAsia="仿宋" w:hAnsi="仿宋" w:cs="仿宋"/>
          <w:sz w:val="28"/>
          <w:szCs w:val="28"/>
        </w:rPr>
      </w:pPr>
    </w:p>
    <w:p w14:paraId="7C6C9DF1" w14:textId="09541CEF" w:rsidR="00EC60DC" w:rsidRDefault="00000000">
      <w:pPr>
        <w:pStyle w:val="a3"/>
        <w:widowControl/>
        <w:spacing w:before="20" w:beforeAutospacing="0" w:after="20" w:afterAutospacing="0" w:line="520" w:lineRule="atLeast"/>
        <w:jc w:val="both"/>
        <w:rPr>
          <w:rFonts w:ascii="仿宋" w:eastAsia="仿宋" w:hAnsi="仿宋" w:cs="仿宋"/>
          <w:b/>
          <w:bCs/>
          <w:kern w:val="2"/>
          <w:sz w:val="28"/>
          <w:szCs w:val="28"/>
        </w:rPr>
      </w:pPr>
      <w:r>
        <w:rPr>
          <w:rFonts w:ascii="仿宋" w:eastAsia="仿宋" w:hAnsi="仿宋" w:cs="仿宋" w:hint="eastAsia"/>
          <w:b/>
          <w:bCs/>
          <w:kern w:val="2"/>
          <w:sz w:val="28"/>
          <w:szCs w:val="28"/>
        </w:rPr>
        <w:t>3</w:t>
      </w:r>
      <w:r w:rsidR="00ED591D">
        <w:rPr>
          <w:rFonts w:ascii="仿宋" w:eastAsia="仿宋" w:hAnsi="仿宋" w:cs="仿宋" w:hint="eastAsia"/>
          <w:b/>
          <w:bCs/>
          <w:kern w:val="2"/>
          <w:sz w:val="28"/>
          <w:szCs w:val="28"/>
        </w:rPr>
        <w:t>.</w:t>
      </w:r>
      <w:r w:rsidR="00ED591D">
        <w:rPr>
          <w:rFonts w:ascii="仿宋" w:eastAsia="仿宋" w:hAnsi="仿宋" w:cs="仿宋"/>
          <w:b/>
          <w:bCs/>
          <w:kern w:val="2"/>
          <w:sz w:val="28"/>
          <w:szCs w:val="28"/>
        </w:rPr>
        <w:t xml:space="preserve"> </w:t>
      </w:r>
      <w:r w:rsidR="00E02353" w:rsidRPr="00E02353">
        <w:rPr>
          <w:rFonts w:ascii="仿宋" w:eastAsia="仿宋" w:hAnsi="仿宋" w:cs="仿宋" w:hint="eastAsia"/>
          <w:b/>
          <w:bCs/>
          <w:kern w:val="2"/>
          <w:sz w:val="28"/>
          <w:szCs w:val="28"/>
        </w:rPr>
        <w:t>国家发改委拟发布《实行能源效率标识的产品目录》及相关实施规则</w:t>
      </w:r>
    </w:p>
    <w:p w14:paraId="52E40D9D" w14:textId="77777777" w:rsidR="00E02353" w:rsidRPr="00E02353" w:rsidRDefault="00E02353" w:rsidP="00E02353">
      <w:pPr>
        <w:widowControl/>
        <w:spacing w:before="20" w:after="20"/>
        <w:ind w:firstLineChars="200" w:firstLine="560"/>
        <w:jc w:val="left"/>
        <w:rPr>
          <w:rFonts w:ascii="仿宋" w:eastAsia="仿宋" w:hAnsi="仿宋" w:cs="仿宋" w:hint="eastAsia"/>
          <w:sz w:val="28"/>
          <w:szCs w:val="28"/>
        </w:rPr>
      </w:pPr>
      <w:r w:rsidRPr="00E02353">
        <w:rPr>
          <w:rFonts w:ascii="仿宋" w:eastAsia="仿宋" w:hAnsi="仿宋" w:cs="仿宋" w:hint="eastAsia"/>
          <w:sz w:val="28"/>
          <w:szCs w:val="28"/>
        </w:rPr>
        <w:t>10月17日，国家发改委网站公布《关于向社会公开征求&lt;关于印发〈中华人民共和国实行能源效率标识的产品目录（第十七批）〉及相关实施规则的通知（征求意见稿）&gt;意见的公告》，意见反馈截止时间为11月17日。</w:t>
      </w:r>
    </w:p>
    <w:p w14:paraId="79CA3AA7" w14:textId="028EC096" w:rsidR="00ED591D" w:rsidRPr="00E02353" w:rsidRDefault="00E02353" w:rsidP="00E02353">
      <w:pPr>
        <w:widowControl/>
        <w:spacing w:before="20" w:after="20"/>
        <w:ind w:firstLineChars="200" w:firstLine="560"/>
        <w:jc w:val="left"/>
        <w:rPr>
          <w:rFonts w:ascii="仿宋" w:eastAsia="仿宋" w:hAnsi="仿宋" w:cs="仿宋"/>
          <w:sz w:val="28"/>
          <w:szCs w:val="28"/>
        </w:rPr>
      </w:pPr>
      <w:r w:rsidRPr="00E02353">
        <w:rPr>
          <w:rFonts w:ascii="仿宋" w:eastAsia="仿宋" w:hAnsi="仿宋" w:cs="仿宋" w:hint="eastAsia"/>
          <w:sz w:val="28"/>
          <w:szCs w:val="28"/>
        </w:rPr>
        <w:t>《通知》明确，第十七批实行能源效率标识的产品目录共包括塔式和机架式服务器、冷水（热泵）机组、水（地）源热泵机组、溴化锂吸收式冷（温）水机组、低环境温度空气源热泵（冷水）机组、电</w:t>
      </w:r>
      <w:r w:rsidRPr="00E02353">
        <w:rPr>
          <w:rFonts w:ascii="仿宋" w:eastAsia="仿宋" w:hAnsi="仿宋" w:cs="仿宋" w:hint="eastAsia"/>
          <w:sz w:val="28"/>
          <w:szCs w:val="28"/>
        </w:rPr>
        <w:lastRenderedPageBreak/>
        <w:t>力变压器、普通照明用自镇流荧光灯、电饭锅、容积式空气压缩机、家用和类似用途微波炉、家用和类似用途交流换气扇、自携冷凝机组商用冷柜12种产品。</w:t>
      </w:r>
    </w:p>
    <w:p w14:paraId="72954CD0" w14:textId="4FA15300" w:rsidR="00EC60DC" w:rsidRPr="00ED591D" w:rsidRDefault="00ED591D" w:rsidP="00ED591D">
      <w:pPr>
        <w:widowControl/>
        <w:spacing w:before="20" w:after="20"/>
        <w:ind w:firstLineChars="200" w:firstLine="560"/>
        <w:jc w:val="left"/>
        <w:rPr>
          <w:rFonts w:ascii="仿宋" w:eastAsia="仿宋" w:hAnsi="仿宋" w:cs="仿宋"/>
          <w:color w:val="231ABC"/>
          <w:kern w:val="0"/>
          <w:sz w:val="28"/>
          <w:szCs w:val="28"/>
          <w:lang w:bidi="ar"/>
        </w:rPr>
      </w:pPr>
      <w:r w:rsidRPr="00ED591D">
        <w:rPr>
          <w:rFonts w:ascii="仿宋" w:eastAsia="仿宋" w:hAnsi="仿宋" w:cs="仿宋" w:hint="eastAsia"/>
          <w:sz w:val="28"/>
          <w:szCs w:val="28"/>
        </w:rPr>
        <w:t>详细信息请登录 国家发改委</w:t>
      </w:r>
    </w:p>
    <w:p w14:paraId="018275DA" w14:textId="251ED77B" w:rsidR="00EC60DC" w:rsidRDefault="00E02353">
      <w:pPr>
        <w:widowControl/>
        <w:spacing w:before="20" w:after="20"/>
        <w:ind w:firstLineChars="200" w:firstLine="560"/>
        <w:jc w:val="left"/>
        <w:rPr>
          <w:rFonts w:ascii="仿宋" w:eastAsia="仿宋" w:hAnsi="仿宋" w:cs="仿宋" w:hint="eastAsia"/>
          <w:color w:val="231ABC"/>
          <w:kern w:val="0"/>
          <w:sz w:val="28"/>
          <w:szCs w:val="28"/>
          <w:lang w:bidi="ar"/>
        </w:rPr>
      </w:pPr>
      <w:r w:rsidRPr="00E02353">
        <w:rPr>
          <w:rFonts w:ascii="仿宋" w:eastAsia="仿宋" w:hAnsi="仿宋" w:cs="仿宋"/>
          <w:color w:val="231ABC"/>
          <w:kern w:val="0"/>
          <w:sz w:val="28"/>
          <w:szCs w:val="28"/>
          <w:lang w:bidi="ar"/>
        </w:rPr>
        <w:t>https://yyglxxbsgw.ndrc.gov.cn/htmls/article/article.html?articleId=2c97d16b-9091ce05-0192-9879c690-0027</w:t>
      </w:r>
    </w:p>
    <w:p w14:paraId="67660297" w14:textId="77777777" w:rsidR="00ED591D" w:rsidRPr="00ED591D" w:rsidRDefault="00ED591D">
      <w:pPr>
        <w:widowControl/>
        <w:spacing w:before="20" w:after="20"/>
        <w:ind w:firstLineChars="200" w:firstLine="560"/>
        <w:jc w:val="left"/>
        <w:rPr>
          <w:rFonts w:ascii="仿宋" w:eastAsia="仿宋" w:hAnsi="仿宋" w:cs="仿宋"/>
          <w:color w:val="231ABC"/>
          <w:kern w:val="0"/>
          <w:sz w:val="28"/>
          <w:szCs w:val="28"/>
          <w:lang w:bidi="ar"/>
        </w:rPr>
      </w:pPr>
    </w:p>
    <w:p w14:paraId="4C940EB1" w14:textId="2C8C5F94" w:rsidR="00ED591D" w:rsidRPr="00ED591D" w:rsidRDefault="003648A0" w:rsidP="00ED591D">
      <w:pPr>
        <w:widowControl/>
        <w:spacing w:before="20" w:after="20"/>
        <w:jc w:val="left"/>
        <w:rPr>
          <w:rFonts w:ascii="仿宋" w:eastAsia="仿宋" w:hAnsi="仿宋" w:cs="仿宋"/>
          <w:b/>
          <w:bCs/>
          <w:sz w:val="28"/>
          <w:szCs w:val="28"/>
        </w:rPr>
      </w:pPr>
      <w:r>
        <w:rPr>
          <w:rFonts w:ascii="仿宋" w:eastAsia="仿宋" w:hAnsi="仿宋" w:cs="仿宋"/>
          <w:b/>
          <w:bCs/>
          <w:sz w:val="28"/>
          <w:szCs w:val="28"/>
        </w:rPr>
        <w:t>4</w:t>
      </w:r>
      <w:r w:rsidR="00ED591D">
        <w:rPr>
          <w:rFonts w:ascii="仿宋" w:eastAsia="仿宋" w:hAnsi="仿宋" w:cs="仿宋"/>
          <w:b/>
          <w:bCs/>
          <w:sz w:val="28"/>
          <w:szCs w:val="28"/>
        </w:rPr>
        <w:t xml:space="preserve">. </w:t>
      </w:r>
      <w:r w:rsidR="006C570F" w:rsidRPr="006C570F">
        <w:rPr>
          <w:rFonts w:ascii="仿宋" w:eastAsia="仿宋" w:hAnsi="仿宋" w:cs="仿宋" w:hint="eastAsia"/>
          <w:b/>
          <w:bCs/>
          <w:sz w:val="28"/>
          <w:szCs w:val="28"/>
        </w:rPr>
        <w:t>自然资源部拟发文规范非法采矿采出矿产品价值认定</w:t>
      </w:r>
    </w:p>
    <w:p w14:paraId="7D0BA304" w14:textId="77777777" w:rsidR="006C570F" w:rsidRPr="006C570F" w:rsidRDefault="006C570F" w:rsidP="006C570F">
      <w:pPr>
        <w:widowControl/>
        <w:spacing w:before="20" w:after="20"/>
        <w:ind w:firstLineChars="200" w:firstLine="560"/>
        <w:jc w:val="left"/>
        <w:rPr>
          <w:rFonts w:ascii="仿宋" w:eastAsia="仿宋" w:hAnsi="仿宋" w:cs="仿宋" w:hint="eastAsia"/>
          <w:sz w:val="28"/>
          <w:szCs w:val="28"/>
        </w:rPr>
      </w:pPr>
      <w:r w:rsidRPr="006C570F">
        <w:rPr>
          <w:rFonts w:ascii="仿宋" w:eastAsia="仿宋" w:hAnsi="仿宋" w:cs="仿宋" w:hint="eastAsia"/>
          <w:sz w:val="28"/>
          <w:szCs w:val="28"/>
        </w:rPr>
        <w:t>10月22日，自然资源部网站公布《关于公开征求非法采矿采出矿产品价值非法采矿或破坏性采矿造成矿产资源破坏价值认定办法及技术指南意见的公告》。</w:t>
      </w:r>
    </w:p>
    <w:p w14:paraId="327302FB" w14:textId="57C4DD80" w:rsidR="00ED591D" w:rsidRPr="006C570F" w:rsidRDefault="006C570F" w:rsidP="006C570F">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hint="eastAsia"/>
          <w:sz w:val="28"/>
          <w:szCs w:val="28"/>
        </w:rPr>
        <w:t>《认定办法》包括基本概念、基本原则、认定管辖、认定规则、省级自然资源主管部门认定管理、有关规定6个部分，对非法采矿采出矿产品价值、非法采矿造成矿产资源破坏价值、破坏性采矿造成矿产资源破坏的价值等基本概念作了进一步厘清，结合司法解释明确了认定工作管辖的范围，对如何进行认定明确了相关规则。《技术指南》包括适用范围、工作方法2大部分，并附有调查核算报告编写提纲。</w:t>
      </w:r>
    </w:p>
    <w:p w14:paraId="615159E1" w14:textId="4F9A7564" w:rsidR="00EC60DC" w:rsidRDefault="00ED591D" w:rsidP="00ED591D">
      <w:pPr>
        <w:widowControl/>
        <w:spacing w:before="20" w:after="20"/>
        <w:ind w:firstLineChars="200" w:firstLine="560"/>
        <w:jc w:val="left"/>
        <w:rPr>
          <w:rFonts w:ascii="仿宋" w:eastAsia="仿宋" w:hAnsi="仿宋" w:cs="仿宋"/>
          <w:sz w:val="28"/>
          <w:szCs w:val="28"/>
        </w:rPr>
      </w:pPr>
      <w:r w:rsidRPr="00ED591D">
        <w:rPr>
          <w:rFonts w:ascii="仿宋" w:eastAsia="仿宋" w:hAnsi="仿宋" w:cs="仿宋" w:hint="eastAsia"/>
          <w:sz w:val="28"/>
          <w:szCs w:val="28"/>
        </w:rPr>
        <w:t xml:space="preserve">详细信息请登录 </w:t>
      </w:r>
      <w:r w:rsidR="006C570F" w:rsidRPr="006C570F">
        <w:rPr>
          <w:rFonts w:ascii="仿宋" w:eastAsia="仿宋" w:hAnsi="仿宋" w:cs="仿宋" w:hint="eastAsia"/>
          <w:sz w:val="28"/>
          <w:szCs w:val="28"/>
        </w:rPr>
        <w:t>自然资源部</w:t>
      </w:r>
    </w:p>
    <w:p w14:paraId="2C05E466" w14:textId="6F4027D8" w:rsidR="00ED591D" w:rsidRDefault="006C570F" w:rsidP="00ED591D">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sz w:val="28"/>
          <w:szCs w:val="28"/>
        </w:rPr>
        <w:t>https://gi.mnr.gov.cn/202410/t20241022_2871211.html</w:t>
      </w:r>
    </w:p>
    <w:p w14:paraId="246AE344" w14:textId="053B3A82" w:rsidR="00ED591D" w:rsidRDefault="00ED591D" w:rsidP="00ED591D">
      <w:pPr>
        <w:widowControl/>
        <w:spacing w:before="20" w:after="20"/>
        <w:ind w:firstLineChars="200" w:firstLine="560"/>
        <w:jc w:val="left"/>
        <w:rPr>
          <w:rFonts w:ascii="仿宋" w:eastAsia="仿宋" w:hAnsi="仿宋" w:cs="仿宋"/>
          <w:sz w:val="28"/>
          <w:szCs w:val="28"/>
        </w:rPr>
      </w:pPr>
    </w:p>
    <w:p w14:paraId="58118ACE" w14:textId="36DB6CEF" w:rsidR="00ED591D" w:rsidRPr="00ED591D" w:rsidRDefault="003648A0" w:rsidP="00ED591D">
      <w:pPr>
        <w:widowControl/>
        <w:spacing w:before="20" w:after="20"/>
        <w:jc w:val="left"/>
        <w:rPr>
          <w:rFonts w:ascii="仿宋" w:eastAsia="仿宋" w:hAnsi="仿宋" w:cs="仿宋"/>
          <w:b/>
          <w:bCs/>
          <w:sz w:val="28"/>
          <w:szCs w:val="28"/>
        </w:rPr>
      </w:pPr>
      <w:r>
        <w:rPr>
          <w:rFonts w:ascii="仿宋" w:eastAsia="仿宋" w:hAnsi="仿宋" w:cs="仿宋"/>
          <w:b/>
          <w:bCs/>
          <w:sz w:val="28"/>
          <w:szCs w:val="28"/>
        </w:rPr>
        <w:t>5</w:t>
      </w:r>
      <w:r w:rsidR="00ED591D" w:rsidRPr="00ED591D">
        <w:rPr>
          <w:rFonts w:ascii="仿宋" w:eastAsia="仿宋" w:hAnsi="仿宋" w:cs="仿宋"/>
          <w:b/>
          <w:bCs/>
          <w:sz w:val="28"/>
          <w:szCs w:val="28"/>
        </w:rPr>
        <w:t xml:space="preserve">. </w:t>
      </w:r>
      <w:r w:rsidR="006C570F" w:rsidRPr="006C570F">
        <w:rPr>
          <w:rFonts w:ascii="仿宋" w:eastAsia="仿宋" w:hAnsi="仿宋" w:cs="仿宋" w:hint="eastAsia"/>
          <w:b/>
          <w:bCs/>
          <w:sz w:val="28"/>
          <w:szCs w:val="28"/>
        </w:rPr>
        <w:t>工信部印发《工业互联网与电力行业融合应用参考指南（2024年）》</w:t>
      </w:r>
    </w:p>
    <w:p w14:paraId="249DAA84" w14:textId="77777777" w:rsidR="006C570F" w:rsidRPr="006C570F" w:rsidRDefault="006C570F" w:rsidP="006C570F">
      <w:pPr>
        <w:widowControl/>
        <w:spacing w:before="20" w:after="20"/>
        <w:ind w:firstLineChars="200" w:firstLine="560"/>
        <w:jc w:val="left"/>
        <w:rPr>
          <w:rFonts w:ascii="仿宋" w:eastAsia="仿宋" w:hAnsi="仿宋" w:cs="仿宋" w:hint="eastAsia"/>
          <w:sz w:val="28"/>
          <w:szCs w:val="28"/>
        </w:rPr>
      </w:pPr>
      <w:r w:rsidRPr="006C570F">
        <w:rPr>
          <w:rFonts w:ascii="仿宋" w:eastAsia="仿宋" w:hAnsi="仿宋" w:cs="仿宋" w:hint="eastAsia"/>
          <w:sz w:val="28"/>
          <w:szCs w:val="28"/>
        </w:rPr>
        <w:lastRenderedPageBreak/>
        <w:t>10月15日，工信部网站公布《关于印发&lt;工业互联网与电力行业融合应用参考指南（2024年）&gt;的通知》。</w:t>
      </w:r>
    </w:p>
    <w:p w14:paraId="7BF5D8A6" w14:textId="46C2DC40" w:rsidR="00ED591D" w:rsidRPr="006C570F" w:rsidRDefault="006C570F" w:rsidP="006C570F">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hint="eastAsia"/>
          <w:sz w:val="28"/>
          <w:szCs w:val="28"/>
        </w:rPr>
        <w:t>《指南》共包括九部分内容，并附典型案例、供应商概览与专业术语解释，主要从现状和需求出发，设计工业互联网与电力融合应用总体架构，基于工业互联网典型应用模式，梳理形成融合应用场景总体视图，深入剖析工业互联网网络、标识、平台、数据和安全等方面的电力融合实施路径，总结电力企业应用工业互联网开展数字化、智能化转型的方法步骤。</w:t>
      </w:r>
    </w:p>
    <w:p w14:paraId="796E9261" w14:textId="77777777" w:rsidR="006C570F" w:rsidRDefault="006C570F" w:rsidP="00ED591D">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hint="eastAsia"/>
          <w:sz w:val="28"/>
          <w:szCs w:val="28"/>
        </w:rPr>
        <w:t>详细信息请登录 工信部</w:t>
      </w:r>
    </w:p>
    <w:p w14:paraId="13146B63" w14:textId="7B39F4BB" w:rsidR="00ED591D" w:rsidRDefault="006C570F" w:rsidP="00ED591D">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sz w:val="28"/>
          <w:szCs w:val="28"/>
        </w:rPr>
        <w:t>https://www.miit.gov.cn/zwgk/zcwj/wjfb/tz/art/2024/art_e369b81aa08546509c07819582de9d02.html</w:t>
      </w:r>
    </w:p>
    <w:p w14:paraId="1C1AB815" w14:textId="4814B334" w:rsidR="00ED591D" w:rsidRDefault="00ED591D" w:rsidP="00ED591D">
      <w:pPr>
        <w:widowControl/>
        <w:spacing w:before="20" w:after="20"/>
        <w:ind w:firstLineChars="200" w:firstLine="560"/>
        <w:jc w:val="left"/>
        <w:rPr>
          <w:rFonts w:ascii="仿宋" w:eastAsia="仿宋" w:hAnsi="仿宋" w:cs="仿宋"/>
          <w:sz w:val="28"/>
          <w:szCs w:val="28"/>
        </w:rPr>
      </w:pPr>
    </w:p>
    <w:p w14:paraId="5D2BA6DC" w14:textId="33CFE049" w:rsidR="00ED591D" w:rsidRPr="003648A0" w:rsidRDefault="003648A0" w:rsidP="003648A0">
      <w:pPr>
        <w:widowControl/>
        <w:spacing w:before="20" w:after="20"/>
        <w:jc w:val="left"/>
        <w:rPr>
          <w:rFonts w:ascii="仿宋" w:eastAsia="仿宋" w:hAnsi="仿宋" w:cs="仿宋"/>
          <w:b/>
          <w:bCs/>
          <w:sz w:val="28"/>
          <w:szCs w:val="28"/>
        </w:rPr>
      </w:pPr>
      <w:r w:rsidRPr="003648A0">
        <w:rPr>
          <w:rFonts w:ascii="仿宋" w:eastAsia="仿宋" w:hAnsi="仿宋" w:cs="仿宋" w:hint="eastAsia"/>
          <w:b/>
          <w:bCs/>
          <w:sz w:val="28"/>
          <w:szCs w:val="28"/>
        </w:rPr>
        <w:t>6</w:t>
      </w:r>
      <w:r w:rsidRPr="003648A0">
        <w:rPr>
          <w:rFonts w:ascii="仿宋" w:eastAsia="仿宋" w:hAnsi="仿宋" w:cs="仿宋"/>
          <w:b/>
          <w:bCs/>
          <w:sz w:val="28"/>
          <w:szCs w:val="28"/>
        </w:rPr>
        <w:t>.</w:t>
      </w:r>
      <w:r w:rsidRPr="003648A0">
        <w:rPr>
          <w:rFonts w:ascii="仿宋" w:eastAsia="仿宋" w:hAnsi="仿宋" w:cs="仿宋" w:hint="eastAsia"/>
          <w:b/>
          <w:bCs/>
          <w:sz w:val="28"/>
          <w:szCs w:val="28"/>
        </w:rPr>
        <w:t xml:space="preserve"> </w:t>
      </w:r>
      <w:r w:rsidR="006C570F" w:rsidRPr="006C570F">
        <w:rPr>
          <w:rFonts w:ascii="仿宋" w:eastAsia="仿宋" w:hAnsi="仿宋" w:cs="仿宋" w:hint="eastAsia"/>
          <w:b/>
          <w:bCs/>
          <w:sz w:val="28"/>
          <w:szCs w:val="28"/>
        </w:rPr>
        <w:t>国家能源局拟发布《分布式光伏发电开发建设管理办法》</w:t>
      </w:r>
    </w:p>
    <w:p w14:paraId="7EFB5109" w14:textId="77777777" w:rsidR="006C570F" w:rsidRPr="006C570F" w:rsidRDefault="006C570F" w:rsidP="006C570F">
      <w:pPr>
        <w:widowControl/>
        <w:spacing w:before="20" w:after="20"/>
        <w:ind w:firstLineChars="200" w:firstLine="560"/>
        <w:jc w:val="left"/>
        <w:rPr>
          <w:rFonts w:ascii="仿宋" w:eastAsia="仿宋" w:hAnsi="仿宋" w:cs="仿宋" w:hint="eastAsia"/>
          <w:sz w:val="28"/>
          <w:szCs w:val="28"/>
        </w:rPr>
      </w:pPr>
      <w:r w:rsidRPr="006C570F">
        <w:rPr>
          <w:rFonts w:ascii="仿宋" w:eastAsia="仿宋" w:hAnsi="仿宋" w:cs="仿宋" w:hint="eastAsia"/>
          <w:sz w:val="28"/>
          <w:szCs w:val="28"/>
        </w:rPr>
        <w:t>10月9日，国家能源局发布《关于公开征求&lt;分布式光伏发电开发建设管理办法（征求意见稿）&gt;意见的通知》，意见反馈截止时间为11月8日。</w:t>
      </w:r>
    </w:p>
    <w:p w14:paraId="0A60CBCC" w14:textId="77777777" w:rsidR="006C570F" w:rsidRPr="006C570F" w:rsidRDefault="006C570F" w:rsidP="006C570F">
      <w:pPr>
        <w:widowControl/>
        <w:spacing w:before="20" w:after="20"/>
        <w:ind w:firstLineChars="200" w:firstLine="560"/>
        <w:jc w:val="left"/>
        <w:rPr>
          <w:rFonts w:ascii="仿宋" w:eastAsia="仿宋" w:hAnsi="仿宋" w:cs="仿宋"/>
          <w:sz w:val="28"/>
          <w:szCs w:val="28"/>
        </w:rPr>
      </w:pPr>
    </w:p>
    <w:p w14:paraId="3E76F899" w14:textId="77777777" w:rsidR="006C570F" w:rsidRPr="006C570F" w:rsidRDefault="006C570F" w:rsidP="006C570F">
      <w:pPr>
        <w:widowControl/>
        <w:spacing w:before="20" w:after="20"/>
        <w:ind w:firstLineChars="200" w:firstLine="560"/>
        <w:jc w:val="left"/>
        <w:rPr>
          <w:rFonts w:ascii="仿宋" w:eastAsia="仿宋" w:hAnsi="仿宋" w:cs="仿宋" w:hint="eastAsia"/>
          <w:sz w:val="28"/>
          <w:szCs w:val="28"/>
        </w:rPr>
      </w:pPr>
      <w:r w:rsidRPr="006C570F">
        <w:rPr>
          <w:rFonts w:ascii="仿宋" w:eastAsia="仿宋" w:hAnsi="仿宋" w:cs="仿宋" w:hint="eastAsia"/>
          <w:sz w:val="28"/>
          <w:szCs w:val="28"/>
        </w:rPr>
        <w:t>《办法》共七章四十三条，明确了行业管理、备案管理、建设管理、电网接入、运行管理等方面内容，明确电网企业应公平无歧视地向分布式光伏发电项目投资主体提供电网接入服务，不得无正当理由拒绝项目投资主体提出的接入申请，或拖延接入系统，不得拒绝向项目投资主体提供接入电网须知晓的配电网络的接入位置、可用容量、</w:t>
      </w:r>
      <w:r w:rsidRPr="006C570F">
        <w:rPr>
          <w:rFonts w:ascii="仿宋" w:eastAsia="仿宋" w:hAnsi="仿宋" w:cs="仿宋" w:hint="eastAsia"/>
          <w:sz w:val="28"/>
          <w:szCs w:val="28"/>
        </w:rPr>
        <w:lastRenderedPageBreak/>
        <w:t>实际使用容量、出线方式、可用间隔数量等必要信息，不得对符合国家要求建设的发电设施，除保证电网和设备安全运行的必要技术要求外，接入适用的技术要求高于国家和行业技术标准、规范，不得违规收取不合理服务费用。</w:t>
      </w:r>
    </w:p>
    <w:p w14:paraId="4B93ABFD" w14:textId="77777777" w:rsidR="006C570F" w:rsidRDefault="006C570F" w:rsidP="006C570F">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hint="eastAsia"/>
          <w:sz w:val="28"/>
          <w:szCs w:val="28"/>
        </w:rPr>
        <w:t>详细信息请登录 国家能源局</w:t>
      </w:r>
    </w:p>
    <w:p w14:paraId="2DF55C9D" w14:textId="502B49A8" w:rsidR="003648A0" w:rsidRDefault="006C570F" w:rsidP="006C570F">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sz w:val="28"/>
          <w:szCs w:val="28"/>
        </w:rPr>
        <w:t>https://zfxxgk.nea.gov.cn/2024-10/09/c_1212404143.htm</w:t>
      </w:r>
    </w:p>
    <w:p w14:paraId="74515684" w14:textId="6E7D9411" w:rsidR="003648A0" w:rsidRDefault="003648A0" w:rsidP="00ED591D">
      <w:pPr>
        <w:widowControl/>
        <w:spacing w:before="20" w:after="20"/>
        <w:ind w:firstLineChars="200" w:firstLine="560"/>
        <w:jc w:val="left"/>
        <w:rPr>
          <w:rFonts w:ascii="仿宋" w:eastAsia="仿宋" w:hAnsi="仿宋" w:cs="仿宋"/>
          <w:sz w:val="28"/>
          <w:szCs w:val="28"/>
        </w:rPr>
      </w:pPr>
    </w:p>
    <w:p w14:paraId="5711C8BA" w14:textId="77777777" w:rsidR="00EC60DC" w:rsidRDefault="00000000">
      <w:pPr>
        <w:spacing w:before="20" w:after="20"/>
        <w:jc w:val="center"/>
        <w:rPr>
          <w:rFonts w:ascii="仿宋" w:eastAsia="仿宋" w:hAnsi="仿宋" w:cs="仿宋" w:hint="eastAsia"/>
          <w:b/>
          <w:bCs/>
          <w:sz w:val="36"/>
          <w:szCs w:val="36"/>
        </w:rPr>
      </w:pPr>
      <w:r>
        <w:rPr>
          <w:rFonts w:ascii="仿宋" w:eastAsia="仿宋" w:hAnsi="仿宋" w:cs="仿宋" w:hint="eastAsia"/>
          <w:b/>
          <w:bCs/>
          <w:sz w:val="36"/>
          <w:szCs w:val="36"/>
        </w:rPr>
        <w:t>时政要闻</w:t>
      </w:r>
    </w:p>
    <w:p w14:paraId="069B3CFB" w14:textId="77777777" w:rsidR="00EC60DC" w:rsidRDefault="00EC60DC">
      <w:pPr>
        <w:pBdr>
          <w:top w:val="dotted" w:sz="12" w:space="0" w:color="D9D9D9"/>
        </w:pBdr>
        <w:spacing w:before="20" w:after="20"/>
        <w:rPr>
          <w:rFonts w:ascii="仿宋" w:eastAsia="仿宋" w:hAnsi="仿宋" w:cs="仿宋"/>
          <w:sz w:val="28"/>
          <w:szCs w:val="28"/>
        </w:rPr>
      </w:pPr>
    </w:p>
    <w:p w14:paraId="230B2423" w14:textId="4D6D8D5D" w:rsidR="003639FA" w:rsidRPr="006C570F" w:rsidRDefault="006C570F" w:rsidP="006C570F">
      <w:pPr>
        <w:pStyle w:val="2"/>
        <w:widowControl/>
        <w:shd w:val="clear" w:color="auto" w:fill="FFFFFF"/>
        <w:spacing w:before="20" w:beforeAutospacing="0" w:after="20" w:afterAutospacing="0"/>
        <w:rPr>
          <w:rFonts w:ascii="仿宋" w:eastAsia="仿宋" w:hAnsi="仿宋" w:cs="仿宋" w:hint="default"/>
          <w:sz w:val="28"/>
          <w:szCs w:val="28"/>
        </w:rPr>
      </w:pPr>
      <w:r>
        <w:rPr>
          <w:rFonts w:ascii="仿宋" w:eastAsia="仿宋" w:hAnsi="仿宋" w:cs="仿宋"/>
          <w:sz w:val="28"/>
          <w:szCs w:val="28"/>
          <w:shd w:val="clear" w:color="auto" w:fill="FFFFFF"/>
        </w:rPr>
        <w:t>1</w:t>
      </w:r>
      <w:r>
        <w:rPr>
          <w:rFonts w:ascii="仿宋" w:eastAsia="仿宋" w:hAnsi="仿宋" w:cs="仿宋" w:hint="default"/>
          <w:sz w:val="28"/>
          <w:szCs w:val="28"/>
          <w:shd w:val="clear" w:color="auto" w:fill="FFFFFF"/>
        </w:rPr>
        <w:t>.</w:t>
      </w:r>
      <w:r w:rsidRPr="006C570F">
        <w:t xml:space="preserve"> </w:t>
      </w:r>
      <w:r w:rsidRPr="006C570F">
        <w:rPr>
          <w:rFonts w:ascii="仿宋" w:eastAsia="仿宋" w:hAnsi="仿宋" w:cs="仿宋"/>
          <w:sz w:val="28"/>
          <w:szCs w:val="28"/>
          <w:shd w:val="clear" w:color="auto" w:fill="FFFFFF"/>
        </w:rPr>
        <w:t>阿联酋引领阿拉伯绿色氢能投资</w:t>
      </w:r>
    </w:p>
    <w:p w14:paraId="338B8AA3" w14:textId="77777777" w:rsidR="006C570F" w:rsidRPr="006C570F" w:rsidRDefault="006C570F" w:rsidP="006C570F">
      <w:pPr>
        <w:widowControl/>
        <w:spacing w:before="20" w:after="20"/>
        <w:ind w:firstLineChars="200" w:firstLine="560"/>
        <w:jc w:val="left"/>
        <w:rPr>
          <w:rFonts w:ascii="仿宋" w:eastAsia="仿宋" w:hAnsi="仿宋" w:cs="仿宋" w:hint="eastAsia"/>
          <w:sz w:val="28"/>
          <w:szCs w:val="28"/>
        </w:rPr>
      </w:pPr>
      <w:r w:rsidRPr="006C570F">
        <w:rPr>
          <w:rFonts w:ascii="仿宋" w:eastAsia="仿宋" w:hAnsi="仿宋" w:cs="仿宋" w:hint="eastAsia"/>
          <w:sz w:val="28"/>
          <w:szCs w:val="28"/>
        </w:rPr>
        <w:t>阿联酋正在大力投资绿氢和绿氨的生产，作为其向清洁能源和可持续发展转型战略的一部分，该国拥有中东第一个生产绿氢的设施，预计到2030年阿联酋将获得全球氢市场25%的份额。</w:t>
      </w:r>
    </w:p>
    <w:p w14:paraId="702B3712" w14:textId="77777777" w:rsidR="006C570F" w:rsidRPr="006C570F" w:rsidRDefault="006C570F" w:rsidP="006C570F">
      <w:pPr>
        <w:widowControl/>
        <w:spacing w:before="20" w:after="20"/>
        <w:ind w:firstLineChars="200" w:firstLine="560"/>
        <w:jc w:val="left"/>
        <w:rPr>
          <w:rFonts w:ascii="仿宋" w:eastAsia="仿宋" w:hAnsi="仿宋" w:cs="仿宋" w:hint="eastAsia"/>
          <w:sz w:val="28"/>
          <w:szCs w:val="28"/>
        </w:rPr>
      </w:pPr>
      <w:r w:rsidRPr="006C570F">
        <w:rPr>
          <w:rFonts w:ascii="仿宋" w:eastAsia="仿宋" w:hAnsi="仿宋" w:cs="仿宋" w:hint="eastAsia"/>
          <w:sz w:val="28"/>
          <w:szCs w:val="28"/>
        </w:rPr>
        <w:t>阿联酋计划到2050年，将清洁能源领域的投资增加到6000亿迪拉姆（1630亿美元），2030年将可再生能源增加两倍，同年将清洁能源的贡献提高到19.8吉瓦。为实现这一目标，阿联酋重点发展绿氨产业。</w:t>
      </w:r>
    </w:p>
    <w:p w14:paraId="3A3A42AA" w14:textId="77777777" w:rsidR="006C570F" w:rsidRDefault="006C570F" w:rsidP="006C570F">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hint="eastAsia"/>
          <w:sz w:val="28"/>
          <w:szCs w:val="28"/>
        </w:rPr>
        <w:t>详细信息请登录 商务部</w:t>
      </w:r>
    </w:p>
    <w:p w14:paraId="53FAF6E3" w14:textId="32FB7FB2" w:rsidR="003639FA" w:rsidRDefault="006C570F" w:rsidP="006C570F">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sz w:val="28"/>
          <w:szCs w:val="28"/>
        </w:rPr>
        <w:t>http://ae.mofcom.gov.cn/article/jmxw/202410/20241003539970.shtml</w:t>
      </w:r>
    </w:p>
    <w:p w14:paraId="4586BB14" w14:textId="77777777" w:rsidR="001266CD" w:rsidRDefault="001266CD" w:rsidP="001266CD">
      <w:pPr>
        <w:spacing w:before="20" w:after="20"/>
        <w:rPr>
          <w:rFonts w:ascii="仿宋" w:eastAsia="仿宋" w:hAnsi="仿宋" w:cs="仿宋"/>
          <w:b/>
          <w:bCs/>
          <w:sz w:val="28"/>
          <w:szCs w:val="28"/>
        </w:rPr>
      </w:pPr>
      <w:r>
        <w:rPr>
          <w:rFonts w:ascii="仿宋" w:eastAsia="仿宋" w:hAnsi="仿宋" w:cs="仿宋" w:hint="eastAsia"/>
          <w:b/>
          <w:bCs/>
          <w:sz w:val="28"/>
          <w:szCs w:val="28"/>
        </w:rPr>
        <w:t>2.</w:t>
      </w:r>
      <w:r>
        <w:rPr>
          <w:rFonts w:ascii="仿宋" w:eastAsia="仿宋" w:hAnsi="仿宋" w:cs="仿宋"/>
          <w:b/>
          <w:bCs/>
          <w:sz w:val="28"/>
          <w:szCs w:val="28"/>
        </w:rPr>
        <w:t xml:space="preserve"> </w:t>
      </w:r>
      <w:r w:rsidRPr="00E02353">
        <w:rPr>
          <w:rFonts w:ascii="仿宋" w:eastAsia="仿宋" w:hAnsi="仿宋" w:cs="仿宋" w:hint="eastAsia"/>
          <w:b/>
          <w:bCs/>
          <w:sz w:val="28"/>
          <w:szCs w:val="28"/>
        </w:rPr>
        <w:t>生态环境部部署2023、2024年度发电行业全国碳排放权交易配额分配及清缴工作</w:t>
      </w:r>
    </w:p>
    <w:p w14:paraId="5CC3BB97" w14:textId="77777777" w:rsidR="001266CD" w:rsidRPr="00E02353" w:rsidRDefault="001266CD" w:rsidP="001266CD">
      <w:pPr>
        <w:widowControl/>
        <w:spacing w:before="20" w:after="20"/>
        <w:ind w:firstLineChars="200" w:firstLine="560"/>
        <w:jc w:val="left"/>
        <w:rPr>
          <w:rFonts w:ascii="仿宋" w:eastAsia="仿宋" w:hAnsi="仿宋" w:cs="仿宋" w:hint="eastAsia"/>
          <w:sz w:val="28"/>
          <w:szCs w:val="28"/>
        </w:rPr>
      </w:pPr>
      <w:r w:rsidRPr="00E02353">
        <w:rPr>
          <w:rFonts w:ascii="仿宋" w:eastAsia="仿宋" w:hAnsi="仿宋" w:cs="仿宋" w:hint="eastAsia"/>
          <w:sz w:val="28"/>
          <w:szCs w:val="28"/>
        </w:rPr>
        <w:lastRenderedPageBreak/>
        <w:t>10月21日，生态环境部网站公布《关于做好2023、2024年度发电行业全国碳排放权交易配额分配及清缴相关工作的通知》。</w:t>
      </w:r>
    </w:p>
    <w:p w14:paraId="5C007B14" w14:textId="77777777" w:rsidR="001266CD" w:rsidRDefault="001266CD" w:rsidP="001266CD">
      <w:pPr>
        <w:widowControl/>
        <w:spacing w:before="20" w:after="20"/>
        <w:ind w:firstLineChars="200" w:firstLine="560"/>
        <w:jc w:val="left"/>
        <w:rPr>
          <w:rFonts w:ascii="仿宋" w:eastAsia="仿宋" w:hAnsi="仿宋" w:cs="仿宋"/>
          <w:sz w:val="28"/>
          <w:szCs w:val="28"/>
        </w:rPr>
      </w:pPr>
      <w:r w:rsidRPr="00E02353">
        <w:rPr>
          <w:rFonts w:ascii="仿宋" w:eastAsia="仿宋" w:hAnsi="仿宋" w:cs="仿宋" w:hint="eastAsia"/>
          <w:sz w:val="28"/>
          <w:szCs w:val="28"/>
        </w:rPr>
        <w:t>《通知》明确预分配配额、核定配额、配额清缴、保障措施等方面内容，明确各省级生态环境主管部门组织重点排放单位于2024年12月31日前完成2023年度配额清缴，2025年12月31日前完成2024年度配额清缴。重点排放单位可使用CCER抵销2023、2024年度配额的清缴，抵销比例不得超过应清缴配额量的5%。2017年3月14日前已获得国家应对气候变化主管部门备案的核证自愿减排量，可于2024年12月31日前用于抵销2023年度碳排放配额清缴。2024年1月22日全国温室气体自愿减排交易市场启动后登记的CCER可用于抵销2023、2024年度碳排放配额清缴。对第一个履约周期出于履约目的已注销但实际未用于抵销清缴的CCER，由重点排放单位申请，可用于抵销2023年度配额清缴。</w:t>
      </w:r>
    </w:p>
    <w:p w14:paraId="197E8556" w14:textId="77777777" w:rsidR="001266CD" w:rsidRDefault="001266CD" w:rsidP="001266CD">
      <w:pPr>
        <w:widowControl/>
        <w:spacing w:before="20" w:after="20"/>
        <w:ind w:firstLineChars="200" w:firstLine="560"/>
        <w:jc w:val="left"/>
        <w:rPr>
          <w:rFonts w:ascii="仿宋" w:eastAsia="仿宋" w:hAnsi="仿宋" w:cs="仿宋"/>
          <w:sz w:val="28"/>
          <w:szCs w:val="28"/>
        </w:rPr>
      </w:pPr>
      <w:r w:rsidRPr="00ED591D">
        <w:rPr>
          <w:rFonts w:ascii="仿宋" w:eastAsia="仿宋" w:hAnsi="仿宋" w:cs="仿宋" w:hint="eastAsia"/>
          <w:sz w:val="28"/>
          <w:szCs w:val="28"/>
        </w:rPr>
        <w:t xml:space="preserve">详细信息请登录 </w:t>
      </w:r>
      <w:r>
        <w:rPr>
          <w:rFonts w:ascii="仿宋" w:eastAsia="仿宋" w:hAnsi="仿宋" w:cs="仿宋" w:hint="eastAsia"/>
          <w:sz w:val="28"/>
          <w:szCs w:val="28"/>
        </w:rPr>
        <w:t>生态环境部</w:t>
      </w:r>
    </w:p>
    <w:p w14:paraId="25CDEA44" w14:textId="77777777" w:rsidR="001266CD" w:rsidRDefault="001266CD" w:rsidP="001266CD">
      <w:pPr>
        <w:widowControl/>
        <w:spacing w:before="20" w:after="20"/>
        <w:ind w:firstLineChars="200" w:firstLine="560"/>
        <w:jc w:val="left"/>
        <w:rPr>
          <w:rFonts w:ascii="仿宋" w:eastAsia="仿宋" w:hAnsi="仿宋" w:cs="仿宋"/>
          <w:sz w:val="28"/>
          <w:szCs w:val="28"/>
        </w:rPr>
      </w:pPr>
      <w:r w:rsidRPr="00E02353">
        <w:rPr>
          <w:rFonts w:ascii="仿宋" w:eastAsia="仿宋" w:hAnsi="仿宋" w:cs="仿宋"/>
          <w:sz w:val="28"/>
          <w:szCs w:val="28"/>
        </w:rPr>
        <w:t>https://www.mee.gov.cn/xxgk2018/xxgk/xxgk03/202410/t20241021_1089750.html</w:t>
      </w:r>
    </w:p>
    <w:p w14:paraId="21A5CF13" w14:textId="77777777" w:rsidR="006C570F" w:rsidRPr="001266CD" w:rsidRDefault="006C570F" w:rsidP="006C570F">
      <w:pPr>
        <w:widowControl/>
        <w:spacing w:before="20" w:after="20"/>
        <w:ind w:firstLineChars="200" w:firstLine="560"/>
        <w:jc w:val="left"/>
        <w:rPr>
          <w:rFonts w:ascii="仿宋" w:eastAsia="仿宋" w:hAnsi="仿宋" w:cs="仿宋" w:hint="eastAsia"/>
          <w:sz w:val="28"/>
          <w:szCs w:val="28"/>
        </w:rPr>
      </w:pPr>
    </w:p>
    <w:p w14:paraId="306BB0CA" w14:textId="77777777" w:rsidR="003639FA" w:rsidRDefault="003639FA">
      <w:pPr>
        <w:widowControl/>
        <w:jc w:val="left"/>
        <w:rPr>
          <w:rFonts w:ascii="仿宋" w:eastAsia="仿宋" w:hAnsi="仿宋" w:cs="仿宋"/>
          <w:sz w:val="36"/>
          <w:szCs w:val="36"/>
        </w:rPr>
      </w:pPr>
      <w:r>
        <w:rPr>
          <w:rFonts w:ascii="仿宋" w:eastAsia="仿宋" w:hAnsi="仿宋" w:cs="仿宋"/>
          <w:sz w:val="36"/>
          <w:szCs w:val="36"/>
        </w:rPr>
        <w:br w:type="page"/>
      </w:r>
    </w:p>
    <w:p w14:paraId="1F69CCEE" w14:textId="22A85FB0" w:rsidR="00EC60DC" w:rsidRDefault="00000000">
      <w:pPr>
        <w:spacing w:before="20" w:after="20"/>
        <w:rPr>
          <w:rFonts w:ascii="仿宋" w:eastAsia="仿宋" w:hAnsi="仿宋" w:cs="仿宋"/>
          <w:sz w:val="36"/>
          <w:szCs w:val="36"/>
        </w:rPr>
      </w:pPr>
      <w:r>
        <w:rPr>
          <w:rFonts w:ascii="仿宋" w:eastAsia="仿宋" w:hAnsi="仿宋" w:cs="仿宋" w:hint="eastAsia"/>
          <w:sz w:val="36"/>
          <w:szCs w:val="36"/>
        </w:rPr>
        <w:lastRenderedPageBreak/>
        <w:t>环境板块</w:t>
      </w:r>
    </w:p>
    <w:p w14:paraId="5F181884" w14:textId="77777777" w:rsidR="00EC60DC" w:rsidRDefault="00000000">
      <w:pPr>
        <w:spacing w:before="20" w:after="20"/>
        <w:jc w:val="center"/>
        <w:rPr>
          <w:rFonts w:ascii="仿宋" w:eastAsia="仿宋" w:hAnsi="仿宋" w:cs="仿宋"/>
          <w:b/>
          <w:bCs/>
          <w:sz w:val="36"/>
          <w:szCs w:val="36"/>
        </w:rPr>
      </w:pPr>
      <w:r>
        <w:rPr>
          <w:rFonts w:ascii="仿宋" w:eastAsia="仿宋" w:hAnsi="仿宋" w:cs="仿宋" w:hint="eastAsia"/>
          <w:b/>
          <w:bCs/>
          <w:sz w:val="36"/>
          <w:szCs w:val="36"/>
        </w:rPr>
        <w:t>立法资讯</w:t>
      </w:r>
    </w:p>
    <w:p w14:paraId="45010FCA" w14:textId="77777777" w:rsidR="00EC60DC" w:rsidRDefault="00EC60DC">
      <w:pPr>
        <w:pBdr>
          <w:top w:val="dotted" w:sz="12" w:space="0" w:color="D9D9D9"/>
        </w:pBdr>
        <w:spacing w:before="20" w:after="20"/>
        <w:rPr>
          <w:rFonts w:ascii="仿宋" w:eastAsia="仿宋" w:hAnsi="仿宋" w:cs="仿宋"/>
          <w:sz w:val="28"/>
          <w:szCs w:val="28"/>
        </w:rPr>
      </w:pPr>
    </w:p>
    <w:p w14:paraId="0947D1DC" w14:textId="2113987D" w:rsidR="003648A0" w:rsidRPr="003648A0" w:rsidRDefault="003648A0" w:rsidP="003648A0">
      <w:pPr>
        <w:widowControl/>
        <w:spacing w:before="20" w:after="20"/>
        <w:jc w:val="left"/>
        <w:rPr>
          <w:rFonts w:ascii="仿宋" w:eastAsia="仿宋" w:hAnsi="仿宋" w:cs="仿宋"/>
          <w:b/>
          <w:bCs/>
          <w:sz w:val="28"/>
          <w:szCs w:val="28"/>
        </w:rPr>
      </w:pPr>
      <w:r>
        <w:rPr>
          <w:rFonts w:ascii="仿宋" w:eastAsia="仿宋" w:hAnsi="仿宋" w:cs="仿宋"/>
          <w:b/>
          <w:bCs/>
          <w:sz w:val="28"/>
          <w:szCs w:val="28"/>
        </w:rPr>
        <w:t>1</w:t>
      </w:r>
      <w:r w:rsidRPr="003648A0">
        <w:rPr>
          <w:rFonts w:ascii="仿宋" w:eastAsia="仿宋" w:hAnsi="仿宋" w:cs="仿宋"/>
          <w:b/>
          <w:bCs/>
          <w:sz w:val="28"/>
          <w:szCs w:val="28"/>
        </w:rPr>
        <w:t>.</w:t>
      </w:r>
      <w:r>
        <w:rPr>
          <w:rFonts w:ascii="仿宋" w:eastAsia="仿宋" w:hAnsi="仿宋" w:cs="仿宋"/>
          <w:b/>
          <w:bCs/>
          <w:sz w:val="28"/>
          <w:szCs w:val="28"/>
        </w:rPr>
        <w:t xml:space="preserve"> </w:t>
      </w:r>
      <w:r w:rsidR="00E02353" w:rsidRPr="00E02353">
        <w:rPr>
          <w:rFonts w:ascii="仿宋" w:eastAsia="仿宋" w:hAnsi="仿宋" w:cs="仿宋" w:hint="eastAsia"/>
          <w:b/>
          <w:bCs/>
          <w:sz w:val="28"/>
          <w:szCs w:val="28"/>
        </w:rPr>
        <w:t>三部门联合印发《办理污染环境犯罪案件证据指引》</w:t>
      </w:r>
    </w:p>
    <w:p w14:paraId="26559124" w14:textId="77777777" w:rsidR="006C570F" w:rsidRPr="006C570F" w:rsidRDefault="006C570F" w:rsidP="006C570F">
      <w:pPr>
        <w:widowControl/>
        <w:spacing w:before="20" w:after="20"/>
        <w:ind w:firstLineChars="200" w:firstLine="560"/>
        <w:jc w:val="left"/>
        <w:rPr>
          <w:rFonts w:ascii="仿宋" w:eastAsia="仿宋" w:hAnsi="仿宋" w:cs="仿宋" w:hint="eastAsia"/>
          <w:sz w:val="28"/>
          <w:szCs w:val="28"/>
        </w:rPr>
      </w:pPr>
      <w:r w:rsidRPr="006C570F">
        <w:rPr>
          <w:rFonts w:ascii="仿宋" w:eastAsia="仿宋" w:hAnsi="仿宋" w:cs="仿宋" w:hint="eastAsia"/>
          <w:sz w:val="28"/>
          <w:szCs w:val="28"/>
        </w:rPr>
        <w:t>近日，最高检、公安部、生态环境部联合印发《办理污染环境犯罪案件证据指引》。《指引》通过条目化的证据清单，引导公安机关规范、高效取证，进一步明确检察机关审查重点和方向，不断提升污染环境犯罪案件办案质效。</w:t>
      </w:r>
    </w:p>
    <w:p w14:paraId="7E864114" w14:textId="191295A0" w:rsidR="003648A0" w:rsidRPr="006C570F" w:rsidRDefault="006C570F" w:rsidP="006C570F">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hint="eastAsia"/>
          <w:sz w:val="28"/>
          <w:szCs w:val="28"/>
        </w:rPr>
        <w:t>《指引》明确，应重视收集审查犯罪客观方面的证据，查明污染物的具体种类，证明犯罪嫌疑人实施了排放、倾倒或者处置行为，且符合《关于办理环境污染刑事案件适用法律若干问题的解释》列明的“严重污染环境”“情节严重”“情节特别严重”的情形。同时强调，应注意判断环境污染与排放、倾倒、处置行为之间因果关系。</w:t>
      </w:r>
    </w:p>
    <w:p w14:paraId="7F7B9918" w14:textId="01DA3FE2" w:rsidR="003648A0" w:rsidRPr="003648A0" w:rsidRDefault="003648A0" w:rsidP="003648A0">
      <w:pPr>
        <w:widowControl/>
        <w:spacing w:before="20" w:after="20"/>
        <w:ind w:firstLineChars="200" w:firstLine="560"/>
        <w:jc w:val="left"/>
        <w:rPr>
          <w:rFonts w:ascii="仿宋" w:eastAsia="仿宋" w:hAnsi="仿宋" w:cs="仿宋"/>
          <w:sz w:val="28"/>
          <w:szCs w:val="28"/>
        </w:rPr>
      </w:pPr>
      <w:r w:rsidRPr="003648A0">
        <w:rPr>
          <w:rFonts w:ascii="仿宋" w:eastAsia="仿宋" w:hAnsi="仿宋" w:cs="仿宋" w:hint="eastAsia"/>
          <w:sz w:val="28"/>
          <w:szCs w:val="28"/>
        </w:rPr>
        <w:t xml:space="preserve">详细信息请登录 </w:t>
      </w:r>
      <w:r w:rsidR="006C570F">
        <w:rPr>
          <w:rFonts w:ascii="仿宋" w:eastAsia="仿宋" w:hAnsi="仿宋" w:cs="仿宋" w:hint="eastAsia"/>
          <w:sz w:val="28"/>
          <w:szCs w:val="28"/>
        </w:rPr>
        <w:t>最高检</w:t>
      </w:r>
    </w:p>
    <w:p w14:paraId="43AD1F3C" w14:textId="0B751B1B" w:rsidR="003648A0" w:rsidRDefault="006C570F" w:rsidP="003648A0">
      <w:pPr>
        <w:widowControl/>
        <w:spacing w:before="20" w:after="20"/>
        <w:ind w:firstLineChars="200" w:firstLine="560"/>
        <w:jc w:val="left"/>
        <w:rPr>
          <w:rFonts w:ascii="仿宋" w:eastAsia="仿宋" w:hAnsi="仿宋" w:cs="仿宋" w:hint="eastAsia"/>
          <w:sz w:val="28"/>
          <w:szCs w:val="28"/>
        </w:rPr>
      </w:pPr>
      <w:r w:rsidRPr="006C570F">
        <w:rPr>
          <w:rFonts w:ascii="仿宋" w:eastAsia="仿宋" w:hAnsi="仿宋" w:cs="仿宋"/>
          <w:sz w:val="28"/>
          <w:szCs w:val="28"/>
        </w:rPr>
        <w:t>https://www.spp.gov.cn/xwfbh/wsfbt/202410/t20241021_669294.shtml</w:t>
      </w:r>
    </w:p>
    <w:p w14:paraId="639421D4" w14:textId="77777777" w:rsidR="003648A0" w:rsidRDefault="003648A0" w:rsidP="003648A0">
      <w:pPr>
        <w:widowControl/>
        <w:spacing w:before="20" w:after="20"/>
        <w:ind w:firstLineChars="200" w:firstLine="560"/>
        <w:jc w:val="left"/>
        <w:rPr>
          <w:rFonts w:ascii="仿宋" w:eastAsia="仿宋" w:hAnsi="仿宋" w:cs="仿宋"/>
          <w:sz w:val="28"/>
          <w:szCs w:val="28"/>
        </w:rPr>
      </w:pPr>
    </w:p>
    <w:p w14:paraId="44E2A479" w14:textId="6C5DCFAE" w:rsidR="003648A0" w:rsidRPr="001266CD" w:rsidRDefault="003648A0" w:rsidP="003648A0">
      <w:pPr>
        <w:widowControl/>
        <w:spacing w:before="20" w:after="20"/>
        <w:jc w:val="left"/>
        <w:rPr>
          <w:rFonts w:ascii="仿宋" w:eastAsia="仿宋" w:hAnsi="仿宋" w:cs="仿宋"/>
          <w:b/>
          <w:bCs/>
          <w:sz w:val="28"/>
          <w:szCs w:val="28"/>
        </w:rPr>
      </w:pPr>
      <w:r>
        <w:rPr>
          <w:rFonts w:ascii="仿宋" w:eastAsia="仿宋" w:hAnsi="仿宋" w:cs="仿宋"/>
          <w:b/>
          <w:bCs/>
          <w:sz w:val="28"/>
          <w:szCs w:val="28"/>
        </w:rPr>
        <w:t xml:space="preserve">2. </w:t>
      </w:r>
      <w:r w:rsidR="001266CD" w:rsidRPr="001266CD">
        <w:rPr>
          <w:rFonts w:ascii="仿宋" w:eastAsia="仿宋" w:hAnsi="仿宋" w:cs="仿宋" w:hint="eastAsia"/>
          <w:b/>
          <w:bCs/>
          <w:sz w:val="28"/>
          <w:szCs w:val="28"/>
        </w:rPr>
        <w:t>生态环境部拟出台《生态环境信访工作办法》</w:t>
      </w:r>
    </w:p>
    <w:p w14:paraId="197F6393" w14:textId="77777777" w:rsidR="001266CD" w:rsidRPr="001266CD" w:rsidRDefault="001266CD" w:rsidP="001266CD">
      <w:pPr>
        <w:widowControl/>
        <w:spacing w:before="20" w:after="20"/>
        <w:ind w:firstLineChars="200" w:firstLine="560"/>
        <w:jc w:val="left"/>
        <w:rPr>
          <w:rFonts w:ascii="仿宋" w:eastAsia="仿宋" w:hAnsi="仿宋" w:cs="仿宋" w:hint="eastAsia"/>
          <w:sz w:val="28"/>
          <w:szCs w:val="28"/>
        </w:rPr>
      </w:pPr>
      <w:r w:rsidRPr="001266CD">
        <w:rPr>
          <w:rFonts w:ascii="仿宋" w:eastAsia="仿宋" w:hAnsi="仿宋" w:cs="仿宋" w:hint="eastAsia"/>
          <w:sz w:val="28"/>
          <w:szCs w:val="28"/>
        </w:rPr>
        <w:t>10月25日，生态环境部网站公布《关于公开征求&lt;生态环境信访工作办法（征求意见稿）&gt;意见的函》，意见反馈截止时间为11月4日。</w:t>
      </w:r>
    </w:p>
    <w:p w14:paraId="0EF95A17" w14:textId="77777777" w:rsidR="001266CD" w:rsidRPr="001266CD" w:rsidRDefault="001266CD" w:rsidP="001266CD">
      <w:pPr>
        <w:widowControl/>
        <w:spacing w:before="20" w:after="20"/>
        <w:ind w:firstLineChars="200" w:firstLine="560"/>
        <w:jc w:val="left"/>
        <w:rPr>
          <w:rFonts w:ascii="仿宋" w:eastAsia="仿宋" w:hAnsi="仿宋" w:cs="仿宋" w:hint="eastAsia"/>
          <w:sz w:val="28"/>
          <w:szCs w:val="28"/>
        </w:rPr>
      </w:pPr>
      <w:r w:rsidRPr="001266CD">
        <w:rPr>
          <w:rFonts w:ascii="仿宋" w:eastAsia="仿宋" w:hAnsi="仿宋" w:cs="仿宋" w:hint="eastAsia"/>
          <w:sz w:val="28"/>
          <w:szCs w:val="28"/>
        </w:rPr>
        <w:lastRenderedPageBreak/>
        <w:t>《办法》共六章43条，包括信访工作体制、信访事项的提出和受理、信访事项的办理、监督和追责等方面内容，明确了信访相关事项公开要求，对信访人提出信访事项的要求、走访的要求，对生态环境部门信息化建设的要求，生态环境部门收到信访事项后的处理方式，三种不予受理的情形，重大、紧急信访事项的处理要求，信访人的义务等。</w:t>
      </w:r>
    </w:p>
    <w:p w14:paraId="6D266631" w14:textId="576B1966" w:rsidR="003648A0" w:rsidRPr="001266CD" w:rsidRDefault="001266CD" w:rsidP="001266CD">
      <w:pPr>
        <w:widowControl/>
        <w:spacing w:before="20" w:after="20"/>
        <w:ind w:firstLineChars="200" w:firstLine="560"/>
        <w:jc w:val="left"/>
        <w:rPr>
          <w:rFonts w:ascii="仿宋" w:eastAsia="仿宋" w:hAnsi="仿宋" w:cs="仿宋"/>
          <w:sz w:val="28"/>
          <w:szCs w:val="28"/>
        </w:rPr>
      </w:pPr>
      <w:r w:rsidRPr="001266CD">
        <w:rPr>
          <w:rFonts w:ascii="仿宋" w:eastAsia="仿宋" w:hAnsi="仿宋" w:cs="仿宋" w:hint="eastAsia"/>
          <w:sz w:val="28"/>
          <w:szCs w:val="28"/>
        </w:rPr>
        <w:t>详细信息请登录 生态环境部</w:t>
      </w:r>
    </w:p>
    <w:p w14:paraId="370084D6" w14:textId="000A1AD2" w:rsidR="001853BD" w:rsidRDefault="001266CD" w:rsidP="001266CD">
      <w:pPr>
        <w:widowControl/>
        <w:spacing w:before="20" w:after="20"/>
        <w:ind w:firstLineChars="200" w:firstLine="560"/>
        <w:jc w:val="left"/>
        <w:rPr>
          <w:rFonts w:ascii="仿宋" w:eastAsia="仿宋" w:hAnsi="仿宋" w:cs="仿宋" w:hint="eastAsia"/>
          <w:sz w:val="28"/>
          <w:szCs w:val="28"/>
        </w:rPr>
      </w:pPr>
      <w:r w:rsidRPr="001266CD">
        <w:rPr>
          <w:rFonts w:ascii="仿宋" w:eastAsia="仿宋" w:hAnsi="仿宋" w:cs="仿宋"/>
          <w:sz w:val="28"/>
          <w:szCs w:val="28"/>
        </w:rPr>
        <w:t>https://www.mee.gov.cn/xxgk2018/xxgk/xxgk06/202410/t20241025_1090141.html</w:t>
      </w:r>
    </w:p>
    <w:p w14:paraId="6B032206" w14:textId="77777777" w:rsidR="001266CD" w:rsidRDefault="001266CD" w:rsidP="001853BD">
      <w:pPr>
        <w:widowControl/>
        <w:spacing w:before="20" w:after="20"/>
        <w:jc w:val="left"/>
        <w:rPr>
          <w:rFonts w:ascii="仿宋" w:eastAsia="仿宋" w:hAnsi="仿宋" w:cs="仿宋"/>
          <w:b/>
          <w:bCs/>
          <w:sz w:val="28"/>
          <w:szCs w:val="28"/>
        </w:rPr>
      </w:pPr>
    </w:p>
    <w:p w14:paraId="0131703B" w14:textId="297DB89E" w:rsidR="001853BD" w:rsidRPr="001266CD" w:rsidRDefault="001853BD" w:rsidP="001853BD">
      <w:pPr>
        <w:widowControl/>
        <w:spacing w:before="20" w:after="20"/>
        <w:jc w:val="left"/>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b/>
          <w:bCs/>
          <w:sz w:val="28"/>
          <w:szCs w:val="28"/>
        </w:rPr>
        <w:t xml:space="preserve">. </w:t>
      </w:r>
      <w:r w:rsidR="001266CD" w:rsidRPr="001266CD">
        <w:rPr>
          <w:rFonts w:ascii="仿宋" w:eastAsia="仿宋" w:hAnsi="仿宋" w:cs="仿宋" w:hint="eastAsia"/>
          <w:b/>
          <w:bCs/>
          <w:sz w:val="28"/>
          <w:szCs w:val="28"/>
        </w:rPr>
        <w:t>生态环境部拟发布《土壤环境监测技术规范》</w:t>
      </w:r>
    </w:p>
    <w:p w14:paraId="5A135E4D" w14:textId="77777777" w:rsidR="001266CD" w:rsidRPr="001266CD" w:rsidRDefault="001266CD" w:rsidP="001266CD">
      <w:pPr>
        <w:widowControl/>
        <w:spacing w:before="20" w:after="20"/>
        <w:ind w:firstLineChars="200" w:firstLine="560"/>
        <w:jc w:val="left"/>
        <w:rPr>
          <w:rFonts w:ascii="仿宋" w:eastAsia="仿宋" w:hAnsi="仿宋" w:cs="仿宋" w:hint="eastAsia"/>
          <w:sz w:val="28"/>
          <w:szCs w:val="28"/>
        </w:rPr>
      </w:pPr>
      <w:r w:rsidRPr="001266CD">
        <w:rPr>
          <w:rFonts w:ascii="仿宋" w:eastAsia="仿宋" w:hAnsi="仿宋" w:cs="仿宋" w:hint="eastAsia"/>
          <w:sz w:val="28"/>
          <w:szCs w:val="28"/>
        </w:rPr>
        <w:t>10月15日，生态环境部网站公布《关于公开征求&lt;土壤环境监测技术规范（征求意见稿）&gt;国家生态环境标准意见的通知》，意见反馈截止时间为11月12日。</w:t>
      </w:r>
    </w:p>
    <w:p w14:paraId="3B79C989" w14:textId="77777777" w:rsidR="001266CD" w:rsidRPr="001266CD" w:rsidRDefault="001266CD" w:rsidP="001266CD">
      <w:pPr>
        <w:widowControl/>
        <w:spacing w:before="20" w:after="20"/>
        <w:ind w:firstLineChars="200" w:firstLine="560"/>
        <w:jc w:val="left"/>
        <w:rPr>
          <w:rFonts w:ascii="仿宋" w:eastAsia="仿宋" w:hAnsi="仿宋" w:cs="仿宋" w:hint="eastAsia"/>
          <w:sz w:val="28"/>
          <w:szCs w:val="28"/>
        </w:rPr>
      </w:pPr>
      <w:r w:rsidRPr="001266CD">
        <w:rPr>
          <w:rFonts w:ascii="仿宋" w:eastAsia="仿宋" w:hAnsi="仿宋" w:cs="仿宋" w:hint="eastAsia"/>
          <w:sz w:val="28"/>
          <w:szCs w:val="28"/>
        </w:rPr>
        <w:t>《规范》规定了土壤环境监测的监测方案编制、监测项目和监测频次、点位布设、样品采集、样品制备、样品流转、样品保存、样品分析及质量保证和质量控制等方面的技术内容，适用于土壤环境监测，包括区域土壤环境、污染源周边土壤环境、饮用水源地周边土壤环境和土壤环境污染事故等类型的监测。</w:t>
      </w:r>
    </w:p>
    <w:p w14:paraId="32AC228D" w14:textId="7AA34363" w:rsidR="001853BD" w:rsidRPr="001266CD" w:rsidRDefault="001266CD" w:rsidP="001266CD">
      <w:pPr>
        <w:widowControl/>
        <w:spacing w:before="20" w:after="20"/>
        <w:ind w:firstLineChars="200" w:firstLine="560"/>
        <w:jc w:val="left"/>
        <w:rPr>
          <w:rFonts w:ascii="仿宋" w:eastAsia="仿宋" w:hAnsi="仿宋" w:cs="仿宋"/>
          <w:sz w:val="28"/>
          <w:szCs w:val="28"/>
        </w:rPr>
      </w:pPr>
      <w:r w:rsidRPr="001266CD">
        <w:rPr>
          <w:rFonts w:ascii="仿宋" w:eastAsia="仿宋" w:hAnsi="仿宋" w:cs="仿宋" w:hint="eastAsia"/>
          <w:sz w:val="28"/>
          <w:szCs w:val="28"/>
        </w:rPr>
        <w:t>详细信息请登录 生态环境部</w:t>
      </w:r>
    </w:p>
    <w:p w14:paraId="4019FDFA" w14:textId="662D35D8" w:rsidR="001853BD" w:rsidRDefault="001266CD" w:rsidP="001266CD">
      <w:pPr>
        <w:widowControl/>
        <w:spacing w:before="20" w:after="20"/>
        <w:ind w:firstLineChars="200" w:firstLine="560"/>
        <w:jc w:val="left"/>
        <w:rPr>
          <w:rFonts w:ascii="仿宋" w:eastAsia="仿宋" w:hAnsi="仿宋" w:cs="仿宋"/>
          <w:sz w:val="28"/>
          <w:szCs w:val="28"/>
        </w:rPr>
      </w:pPr>
      <w:r w:rsidRPr="001266CD">
        <w:rPr>
          <w:rFonts w:ascii="仿宋" w:eastAsia="仿宋" w:hAnsi="仿宋" w:cs="仿宋"/>
          <w:sz w:val="28"/>
          <w:szCs w:val="28"/>
        </w:rPr>
        <w:t>https://www.mee.gov.cn/xxgk2018/xxgk/xxgk06/202410/t20241015_1089264.html</w:t>
      </w:r>
    </w:p>
    <w:p w14:paraId="4CA83CA6" w14:textId="77777777" w:rsidR="001266CD" w:rsidRDefault="001266CD" w:rsidP="001266CD">
      <w:pPr>
        <w:spacing w:before="20" w:after="20"/>
        <w:rPr>
          <w:rFonts w:ascii="仿宋" w:eastAsia="仿宋" w:hAnsi="仿宋" w:cs="仿宋" w:hint="eastAsia"/>
          <w:sz w:val="36"/>
          <w:szCs w:val="36"/>
        </w:rPr>
      </w:pPr>
    </w:p>
    <w:p w14:paraId="4AFFB725" w14:textId="2916041B" w:rsidR="00EC60DC" w:rsidRPr="001266CD" w:rsidRDefault="00000000">
      <w:pPr>
        <w:spacing w:before="20" w:after="20"/>
        <w:jc w:val="center"/>
        <w:rPr>
          <w:rFonts w:ascii="仿宋" w:eastAsia="仿宋" w:hAnsi="仿宋" w:cs="仿宋"/>
          <w:b/>
          <w:bCs/>
          <w:sz w:val="36"/>
          <w:szCs w:val="36"/>
        </w:rPr>
      </w:pPr>
      <w:r w:rsidRPr="001266CD">
        <w:rPr>
          <w:rFonts w:ascii="仿宋" w:eastAsia="仿宋" w:hAnsi="仿宋" w:cs="仿宋" w:hint="eastAsia"/>
          <w:b/>
          <w:bCs/>
          <w:sz w:val="36"/>
          <w:szCs w:val="36"/>
        </w:rPr>
        <w:t>时政要闻</w:t>
      </w:r>
    </w:p>
    <w:p w14:paraId="43DD192C" w14:textId="77777777" w:rsidR="00EC60DC" w:rsidRDefault="00EC60DC">
      <w:pPr>
        <w:pBdr>
          <w:top w:val="dotted" w:sz="12" w:space="0" w:color="D9D9D9"/>
        </w:pBdr>
        <w:spacing w:before="20" w:after="20"/>
        <w:rPr>
          <w:rFonts w:ascii="仿宋" w:eastAsia="仿宋" w:hAnsi="仿宋" w:cs="仿宋"/>
          <w:sz w:val="28"/>
          <w:szCs w:val="28"/>
        </w:rPr>
      </w:pPr>
    </w:p>
    <w:p w14:paraId="68F00458" w14:textId="77777777" w:rsidR="006C570F" w:rsidRDefault="006C570F" w:rsidP="006C570F">
      <w:pPr>
        <w:widowControl/>
        <w:spacing w:before="20" w:after="20"/>
        <w:jc w:val="left"/>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b/>
          <w:bCs/>
          <w:sz w:val="28"/>
          <w:szCs w:val="28"/>
        </w:rPr>
        <w:t>.</w:t>
      </w:r>
      <w:r w:rsidRPr="006C570F">
        <w:rPr>
          <w:rFonts w:ascii="仿宋" w:eastAsia="仿宋" w:hAnsi="仿宋" w:cs="仿宋" w:hint="eastAsia"/>
          <w:b/>
          <w:bCs/>
          <w:sz w:val="28"/>
          <w:szCs w:val="28"/>
        </w:rPr>
        <w:t>最高检与生态环境部印发意见 加强生态环境损害赔偿与检察公益诉讼衔接</w:t>
      </w:r>
    </w:p>
    <w:p w14:paraId="28F1C634" w14:textId="77777777" w:rsidR="006C570F" w:rsidRPr="006C570F" w:rsidRDefault="006C570F" w:rsidP="006C570F">
      <w:pPr>
        <w:widowControl/>
        <w:spacing w:before="20" w:after="20"/>
        <w:ind w:firstLineChars="200" w:firstLine="560"/>
        <w:jc w:val="left"/>
        <w:rPr>
          <w:rFonts w:ascii="仿宋" w:eastAsia="仿宋" w:hAnsi="仿宋" w:cs="仿宋" w:hint="eastAsia"/>
          <w:sz w:val="28"/>
          <w:szCs w:val="28"/>
        </w:rPr>
      </w:pPr>
      <w:r w:rsidRPr="006C570F">
        <w:rPr>
          <w:rFonts w:ascii="仿宋" w:eastAsia="仿宋" w:hAnsi="仿宋" w:cs="仿宋" w:hint="eastAsia"/>
          <w:sz w:val="28"/>
          <w:szCs w:val="28"/>
        </w:rPr>
        <w:t>最高检与生态环境部近日联合印发《关于加强生态环境损害赔偿与检察公益诉讼衔接的意见》，明确检察机关与生态环境部门在开展生态环境损害赔偿工作中的互相通报和介入机制。</w:t>
      </w:r>
    </w:p>
    <w:p w14:paraId="190C6248" w14:textId="45699B47" w:rsidR="003639FA" w:rsidRDefault="006C570F" w:rsidP="006C570F">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hint="eastAsia"/>
          <w:sz w:val="28"/>
          <w:szCs w:val="28"/>
        </w:rPr>
        <w:t>《意见》共13条，对实践中存在的衔接问题予以明确，明确各地生态环境部门发现或者接到生态环境损害赔偿案件线索，决定立案启动索赔程序的，应当在作出决定之日起十五日内通报同级检察机关；检察机关受理生态环境民事公益诉讼案件线索后，发现符合生态环境损害赔偿条件的，可以在公告时通报同级生态环境部门，生态环境部门未在检察机关公告期内函告的，视为不立案启动索赔程序，检察机关可以依法提起生态环境民事公益诉讼等等。</w:t>
      </w:r>
    </w:p>
    <w:p w14:paraId="7F76BADF" w14:textId="60B8E5F6" w:rsidR="006C570F" w:rsidRDefault="006C570F" w:rsidP="006C570F">
      <w:pPr>
        <w:widowControl/>
        <w:spacing w:before="20" w:after="20"/>
        <w:ind w:firstLineChars="200" w:firstLine="560"/>
        <w:jc w:val="left"/>
        <w:rPr>
          <w:rFonts w:ascii="仿宋" w:eastAsia="仿宋" w:hAnsi="仿宋" w:cs="仿宋"/>
          <w:sz w:val="28"/>
          <w:szCs w:val="28"/>
        </w:rPr>
      </w:pPr>
      <w:r w:rsidRPr="006C570F">
        <w:rPr>
          <w:rFonts w:ascii="仿宋" w:eastAsia="仿宋" w:hAnsi="仿宋" w:cs="仿宋" w:hint="eastAsia"/>
          <w:sz w:val="28"/>
          <w:szCs w:val="28"/>
        </w:rPr>
        <w:t>详细信息请登录 最高检</w:t>
      </w:r>
    </w:p>
    <w:p w14:paraId="305AEBE1" w14:textId="4EA78692" w:rsidR="006C570F" w:rsidRPr="006C570F" w:rsidRDefault="006C570F" w:rsidP="006C570F">
      <w:pPr>
        <w:widowControl/>
        <w:spacing w:before="20" w:after="20"/>
        <w:ind w:firstLineChars="200" w:firstLine="560"/>
        <w:jc w:val="left"/>
        <w:rPr>
          <w:rFonts w:ascii="仿宋" w:eastAsia="仿宋" w:hAnsi="仿宋" w:cs="仿宋" w:hint="eastAsia"/>
          <w:sz w:val="28"/>
          <w:szCs w:val="28"/>
        </w:rPr>
      </w:pPr>
      <w:r w:rsidRPr="006C570F">
        <w:rPr>
          <w:rFonts w:ascii="仿宋" w:eastAsia="仿宋" w:hAnsi="仿宋" w:cs="仿宋"/>
          <w:sz w:val="28"/>
          <w:szCs w:val="28"/>
        </w:rPr>
        <w:t>https://www.spp.gov.cn/spp/zdgz/202410/t20241017_668854.shtml</w:t>
      </w:r>
    </w:p>
    <w:p w14:paraId="5F0EB3D6" w14:textId="58112363" w:rsidR="003639FA" w:rsidRPr="001266CD" w:rsidRDefault="001266CD" w:rsidP="001266CD">
      <w:pPr>
        <w:widowControl/>
        <w:spacing w:before="20" w:after="20"/>
        <w:jc w:val="left"/>
        <w:rPr>
          <w:rFonts w:ascii="仿宋" w:eastAsia="仿宋" w:hAnsi="仿宋" w:cs="仿宋"/>
          <w:b/>
          <w:bCs/>
          <w:sz w:val="28"/>
          <w:szCs w:val="28"/>
        </w:rPr>
      </w:pPr>
      <w:r w:rsidRPr="001266CD">
        <w:rPr>
          <w:rFonts w:ascii="仿宋" w:eastAsia="仿宋" w:hAnsi="仿宋" w:cs="仿宋" w:hint="eastAsia"/>
          <w:b/>
          <w:bCs/>
          <w:sz w:val="28"/>
          <w:szCs w:val="28"/>
        </w:rPr>
        <w:t>2</w:t>
      </w:r>
      <w:r w:rsidRPr="001266CD">
        <w:rPr>
          <w:rFonts w:ascii="仿宋" w:eastAsia="仿宋" w:hAnsi="仿宋" w:cs="仿宋"/>
          <w:b/>
          <w:bCs/>
          <w:sz w:val="28"/>
          <w:szCs w:val="28"/>
        </w:rPr>
        <w:t>.</w:t>
      </w:r>
      <w:r w:rsidRPr="001266CD">
        <w:rPr>
          <w:rFonts w:ascii="仿宋" w:eastAsia="仿宋" w:hAnsi="仿宋" w:cs="仿宋" w:hint="eastAsia"/>
          <w:b/>
          <w:bCs/>
          <w:sz w:val="28"/>
          <w:szCs w:val="28"/>
        </w:rPr>
        <w:t xml:space="preserve"> </w:t>
      </w:r>
      <w:r w:rsidRPr="001266CD">
        <w:rPr>
          <w:rFonts w:ascii="仿宋" w:eastAsia="仿宋" w:hAnsi="仿宋" w:cs="仿宋" w:hint="eastAsia"/>
          <w:b/>
          <w:bCs/>
          <w:sz w:val="28"/>
          <w:szCs w:val="28"/>
        </w:rPr>
        <w:t>智利环境许可制度为投资带来不确定性</w:t>
      </w:r>
    </w:p>
    <w:p w14:paraId="0A0A8922" w14:textId="77777777" w:rsidR="001266CD" w:rsidRPr="001266CD" w:rsidRDefault="001266CD" w:rsidP="001266CD">
      <w:pPr>
        <w:widowControl/>
        <w:spacing w:before="20" w:after="20"/>
        <w:ind w:firstLineChars="200" w:firstLine="560"/>
        <w:jc w:val="left"/>
        <w:rPr>
          <w:rFonts w:ascii="仿宋" w:eastAsia="仿宋" w:hAnsi="仿宋" w:cs="仿宋" w:hint="eastAsia"/>
          <w:sz w:val="28"/>
          <w:szCs w:val="28"/>
        </w:rPr>
      </w:pPr>
      <w:r w:rsidRPr="001266CD">
        <w:rPr>
          <w:rFonts w:ascii="仿宋" w:eastAsia="仿宋" w:hAnsi="仿宋" w:cs="仿宋" w:hint="eastAsia"/>
          <w:sz w:val="28"/>
          <w:szCs w:val="28"/>
        </w:rPr>
        <w:t>近日，根据智利环境影响评估系统（SEIA）数据库信息，近30年来，智利新项目的平均环评时间从208.9天增加到395.6天，增幅达到89%；获批项目的比例从接近100%下降至约60%。</w:t>
      </w:r>
    </w:p>
    <w:p w14:paraId="769CF643" w14:textId="77777777" w:rsidR="001266CD" w:rsidRPr="001266CD" w:rsidRDefault="001266CD" w:rsidP="001266CD">
      <w:pPr>
        <w:widowControl/>
        <w:spacing w:before="20" w:after="20"/>
        <w:ind w:firstLineChars="200" w:firstLine="560"/>
        <w:jc w:val="left"/>
        <w:rPr>
          <w:rFonts w:ascii="仿宋" w:eastAsia="仿宋" w:hAnsi="仿宋" w:cs="仿宋" w:hint="eastAsia"/>
          <w:sz w:val="28"/>
          <w:szCs w:val="28"/>
        </w:rPr>
      </w:pPr>
      <w:r w:rsidRPr="001266CD">
        <w:rPr>
          <w:rFonts w:ascii="仿宋" w:eastAsia="仿宋" w:hAnsi="仿宋" w:cs="仿宋" w:hint="eastAsia"/>
          <w:sz w:val="28"/>
          <w:szCs w:val="28"/>
        </w:rPr>
        <w:lastRenderedPageBreak/>
        <w:t>此外，目前通过SEIA审批项目的总投资额与20年前几乎相同，虽然在2007、2012和2013年出现一定程度增长，但近年来逐步下降，这与智利经济“失去的十年”的情况相吻合。智利项目审批时间长、审批不确定性大，将增加投资成本并影响潜在投资，进而对就业和经济发展等带来一系列影响。</w:t>
      </w:r>
    </w:p>
    <w:p w14:paraId="03979450" w14:textId="77777777" w:rsidR="001266CD" w:rsidRDefault="001266CD" w:rsidP="001266CD">
      <w:pPr>
        <w:widowControl/>
        <w:spacing w:before="20" w:after="20"/>
        <w:ind w:firstLineChars="200" w:firstLine="560"/>
        <w:jc w:val="left"/>
        <w:rPr>
          <w:rFonts w:ascii="仿宋" w:eastAsia="仿宋" w:hAnsi="仿宋" w:cs="仿宋"/>
          <w:sz w:val="28"/>
          <w:szCs w:val="28"/>
        </w:rPr>
      </w:pPr>
      <w:r w:rsidRPr="001266CD">
        <w:rPr>
          <w:rFonts w:ascii="仿宋" w:eastAsia="仿宋" w:hAnsi="仿宋" w:cs="仿宋" w:hint="eastAsia"/>
          <w:sz w:val="28"/>
          <w:szCs w:val="28"/>
        </w:rPr>
        <w:t>详细信息请登录 商务部</w:t>
      </w:r>
    </w:p>
    <w:p w14:paraId="24877A23" w14:textId="2C062A75" w:rsidR="001266CD" w:rsidRDefault="001266CD" w:rsidP="001266CD">
      <w:pPr>
        <w:widowControl/>
        <w:spacing w:before="20" w:after="20"/>
        <w:ind w:firstLineChars="200" w:firstLine="560"/>
        <w:jc w:val="left"/>
        <w:rPr>
          <w:rFonts w:ascii="仿宋" w:eastAsia="仿宋" w:hAnsi="仿宋" w:cs="仿宋"/>
          <w:sz w:val="28"/>
          <w:szCs w:val="28"/>
        </w:rPr>
      </w:pPr>
      <w:r w:rsidRPr="001266CD">
        <w:rPr>
          <w:rFonts w:ascii="仿宋" w:eastAsia="仿宋" w:hAnsi="仿宋" w:cs="仿宋"/>
          <w:sz w:val="28"/>
          <w:szCs w:val="28"/>
        </w:rPr>
        <w:t>https://cl.mofcom.gov.cn/jmxw/art/2024/art_9f19691558af4236974f614d1366b806.html</w:t>
      </w:r>
    </w:p>
    <w:p w14:paraId="57B31268" w14:textId="68C8E5FB" w:rsidR="001266CD" w:rsidRDefault="001266CD">
      <w:pPr>
        <w:pStyle w:val="a3"/>
        <w:widowControl/>
        <w:spacing w:before="20" w:beforeAutospacing="0" w:after="20" w:afterAutospacing="0" w:line="520" w:lineRule="atLeast"/>
        <w:jc w:val="both"/>
        <w:rPr>
          <w:rFonts w:ascii="仿宋" w:eastAsia="仿宋" w:hAnsi="仿宋" w:cs="仿宋"/>
          <w:sz w:val="28"/>
          <w:szCs w:val="28"/>
        </w:rPr>
      </w:pPr>
    </w:p>
    <w:p w14:paraId="7E2BB37C" w14:textId="77777777" w:rsidR="001266CD" w:rsidRPr="001266CD" w:rsidRDefault="001266CD">
      <w:pPr>
        <w:pStyle w:val="a3"/>
        <w:widowControl/>
        <w:spacing w:before="20" w:beforeAutospacing="0" w:after="20" w:afterAutospacing="0" w:line="520" w:lineRule="atLeast"/>
        <w:jc w:val="both"/>
        <w:rPr>
          <w:rFonts w:ascii="仿宋" w:eastAsia="仿宋" w:hAnsi="仿宋" w:cs="仿宋" w:hint="eastAsia"/>
          <w:sz w:val="28"/>
          <w:szCs w:val="28"/>
        </w:rPr>
      </w:pPr>
    </w:p>
    <w:p w14:paraId="04481410" w14:textId="77777777" w:rsidR="00EC60DC" w:rsidRPr="001266CD" w:rsidRDefault="00000000">
      <w:pPr>
        <w:spacing w:before="20" w:after="20"/>
        <w:jc w:val="center"/>
        <w:rPr>
          <w:rFonts w:ascii="仿宋" w:eastAsia="仿宋" w:hAnsi="仿宋" w:cs="仿宋"/>
          <w:b/>
          <w:bCs/>
          <w:sz w:val="36"/>
          <w:szCs w:val="36"/>
        </w:rPr>
      </w:pPr>
      <w:r w:rsidRPr="001266CD">
        <w:rPr>
          <w:rFonts w:ascii="仿宋" w:eastAsia="仿宋" w:hAnsi="仿宋" w:cs="仿宋" w:hint="eastAsia"/>
          <w:b/>
          <w:bCs/>
          <w:sz w:val="36"/>
          <w:szCs w:val="36"/>
        </w:rPr>
        <w:t>环境数据</w:t>
      </w:r>
    </w:p>
    <w:p w14:paraId="01BF579F" w14:textId="77777777" w:rsidR="00EC60DC" w:rsidRDefault="00EC60DC">
      <w:pPr>
        <w:pBdr>
          <w:top w:val="dotted" w:sz="12" w:space="0" w:color="D9D9D9"/>
        </w:pBdr>
        <w:spacing w:before="20" w:after="20"/>
        <w:rPr>
          <w:rFonts w:ascii="仿宋" w:eastAsia="仿宋" w:hAnsi="仿宋" w:cs="仿宋"/>
          <w:sz w:val="28"/>
          <w:szCs w:val="28"/>
        </w:rPr>
      </w:pPr>
    </w:p>
    <w:p w14:paraId="2C468D8C" w14:textId="540FD828" w:rsidR="00EC60DC" w:rsidRPr="005000D0" w:rsidRDefault="00000000">
      <w:pPr>
        <w:pStyle w:val="a3"/>
        <w:widowControl/>
        <w:spacing w:before="20" w:beforeAutospacing="0" w:after="20" w:afterAutospacing="0" w:line="520" w:lineRule="atLeast"/>
        <w:ind w:firstLine="420"/>
        <w:jc w:val="both"/>
        <w:rPr>
          <w:rFonts w:ascii="仿宋" w:eastAsia="仿宋" w:hAnsi="仿宋" w:cs="仿宋"/>
          <w:b/>
          <w:bCs/>
          <w:sz w:val="28"/>
          <w:szCs w:val="28"/>
        </w:rPr>
      </w:pPr>
      <w:r w:rsidRPr="005000D0">
        <w:rPr>
          <w:rFonts w:ascii="仿宋" w:eastAsia="仿宋" w:hAnsi="仿宋" w:cs="仿宋" w:hint="eastAsia"/>
          <w:b/>
          <w:bCs/>
          <w:sz w:val="28"/>
          <w:szCs w:val="28"/>
        </w:rPr>
        <w:t>温州市水环境质量月报（2024年</w:t>
      </w:r>
      <w:r w:rsidR="001266CD">
        <w:rPr>
          <w:rFonts w:ascii="仿宋" w:eastAsia="仿宋" w:hAnsi="仿宋" w:cs="仿宋"/>
          <w:b/>
          <w:bCs/>
          <w:sz w:val="28"/>
          <w:szCs w:val="28"/>
        </w:rPr>
        <w:t>10</w:t>
      </w:r>
      <w:r w:rsidRPr="005000D0">
        <w:rPr>
          <w:rFonts w:ascii="仿宋" w:eastAsia="仿宋" w:hAnsi="仿宋" w:cs="仿宋" w:hint="eastAsia"/>
          <w:b/>
          <w:bCs/>
          <w:sz w:val="28"/>
          <w:szCs w:val="28"/>
        </w:rPr>
        <w:t>月）</w:t>
      </w:r>
    </w:p>
    <w:p w14:paraId="120C91A0" w14:textId="7DDC515B" w:rsidR="005000D0" w:rsidRDefault="001266CD">
      <w:pPr>
        <w:pStyle w:val="a3"/>
        <w:widowControl/>
        <w:spacing w:before="20" w:beforeAutospacing="0" w:after="20" w:afterAutospacing="0" w:line="520" w:lineRule="atLeast"/>
        <w:ind w:firstLine="420"/>
        <w:jc w:val="both"/>
        <w:rPr>
          <w:rFonts w:ascii="仿宋" w:eastAsia="仿宋" w:hAnsi="仿宋" w:cs="仿宋"/>
          <w:sz w:val="28"/>
          <w:szCs w:val="28"/>
        </w:rPr>
      </w:pPr>
      <w:r w:rsidRPr="001266CD">
        <w:rPr>
          <w:rFonts w:ascii="仿宋" w:eastAsia="仿宋" w:hAnsi="仿宋" w:cs="仿宋"/>
          <w:sz w:val="28"/>
          <w:szCs w:val="28"/>
        </w:rPr>
        <w:t>https://sthjj.wenzhou.gov.cn/art/2024/11/12/art_1229205272_58875710.html</w:t>
      </w:r>
    </w:p>
    <w:p w14:paraId="6673742C" w14:textId="789EF9C2" w:rsidR="005000D0" w:rsidRPr="005000D0" w:rsidRDefault="00000000">
      <w:pPr>
        <w:pStyle w:val="a3"/>
        <w:widowControl/>
        <w:spacing w:before="20" w:beforeAutospacing="0" w:after="20" w:afterAutospacing="0" w:line="520" w:lineRule="atLeast"/>
        <w:ind w:firstLine="420"/>
        <w:jc w:val="both"/>
        <w:rPr>
          <w:rFonts w:ascii="仿宋" w:eastAsia="仿宋" w:hAnsi="仿宋" w:cs="仿宋"/>
          <w:b/>
          <w:bCs/>
          <w:sz w:val="28"/>
          <w:szCs w:val="28"/>
        </w:rPr>
      </w:pPr>
      <w:r w:rsidRPr="005000D0">
        <w:rPr>
          <w:rFonts w:ascii="仿宋" w:eastAsia="仿宋" w:hAnsi="仿宋" w:cs="仿宋" w:hint="eastAsia"/>
          <w:b/>
          <w:bCs/>
          <w:sz w:val="28"/>
          <w:szCs w:val="28"/>
        </w:rPr>
        <w:t>温州市环境空气质量月报（2024年</w:t>
      </w:r>
      <w:r w:rsidR="001266CD">
        <w:rPr>
          <w:rFonts w:ascii="仿宋" w:eastAsia="仿宋" w:hAnsi="仿宋" w:cs="仿宋"/>
          <w:b/>
          <w:bCs/>
          <w:sz w:val="28"/>
          <w:szCs w:val="28"/>
        </w:rPr>
        <w:t>10</w:t>
      </w:r>
      <w:r w:rsidRPr="005000D0">
        <w:rPr>
          <w:rFonts w:ascii="仿宋" w:eastAsia="仿宋" w:hAnsi="仿宋" w:cs="仿宋" w:hint="eastAsia"/>
          <w:b/>
          <w:bCs/>
          <w:sz w:val="28"/>
          <w:szCs w:val="28"/>
        </w:rPr>
        <w:t>月）</w:t>
      </w:r>
    </w:p>
    <w:p w14:paraId="02F5DCB8" w14:textId="6E6855D7" w:rsidR="00EC60DC" w:rsidRDefault="001266CD">
      <w:pPr>
        <w:pStyle w:val="a3"/>
        <w:widowControl/>
        <w:spacing w:before="20" w:beforeAutospacing="0" w:after="20" w:afterAutospacing="0" w:line="520" w:lineRule="atLeast"/>
        <w:ind w:firstLine="420"/>
        <w:jc w:val="both"/>
        <w:rPr>
          <w:rFonts w:ascii="仿宋" w:eastAsia="仿宋" w:hAnsi="仿宋" w:cs="仿宋"/>
          <w:sz w:val="28"/>
          <w:szCs w:val="28"/>
        </w:rPr>
      </w:pPr>
      <w:r w:rsidRPr="001266CD">
        <w:rPr>
          <w:rFonts w:ascii="仿宋" w:eastAsia="仿宋" w:hAnsi="仿宋" w:cs="仿宋"/>
          <w:sz w:val="28"/>
          <w:szCs w:val="28"/>
        </w:rPr>
        <w:t>https://sthjj.wenzhou.gov.cn/art/2024/11/12/art_1229205271_58875709.html</w:t>
      </w:r>
    </w:p>
    <w:p w14:paraId="2ADD7BEE" w14:textId="137348AE" w:rsidR="00EC60DC" w:rsidRPr="005000D0" w:rsidRDefault="00000000">
      <w:pPr>
        <w:pStyle w:val="a3"/>
        <w:widowControl/>
        <w:spacing w:before="20" w:beforeAutospacing="0" w:after="20" w:afterAutospacing="0" w:line="520" w:lineRule="atLeast"/>
        <w:ind w:firstLine="420"/>
        <w:jc w:val="both"/>
        <w:rPr>
          <w:rStyle w:val="a4"/>
          <w:rFonts w:ascii="仿宋" w:eastAsia="仿宋" w:hAnsi="仿宋" w:cs="仿宋"/>
          <w:b/>
          <w:bCs/>
          <w:sz w:val="28"/>
          <w:szCs w:val="28"/>
        </w:rPr>
      </w:pPr>
      <w:r w:rsidRPr="005000D0">
        <w:rPr>
          <w:rFonts w:ascii="仿宋" w:eastAsia="仿宋" w:hAnsi="仿宋" w:cs="仿宋" w:hint="eastAsia"/>
          <w:b/>
          <w:bCs/>
          <w:sz w:val="28"/>
          <w:szCs w:val="28"/>
        </w:rPr>
        <w:t>温州市降尘监测报表（2024年</w:t>
      </w:r>
      <w:r w:rsidR="001266CD">
        <w:rPr>
          <w:rFonts w:ascii="仿宋" w:eastAsia="仿宋" w:hAnsi="仿宋" w:cs="仿宋"/>
          <w:b/>
          <w:bCs/>
          <w:sz w:val="28"/>
          <w:szCs w:val="28"/>
        </w:rPr>
        <w:t>10</w:t>
      </w:r>
      <w:r w:rsidRPr="005000D0">
        <w:rPr>
          <w:rFonts w:ascii="仿宋" w:eastAsia="仿宋" w:hAnsi="仿宋" w:cs="仿宋" w:hint="eastAsia"/>
          <w:b/>
          <w:bCs/>
          <w:sz w:val="28"/>
          <w:szCs w:val="28"/>
        </w:rPr>
        <w:t>月）</w:t>
      </w:r>
    </w:p>
    <w:p w14:paraId="01A1E833" w14:textId="18F2B995" w:rsidR="001266CD" w:rsidRDefault="001266CD">
      <w:pPr>
        <w:pStyle w:val="a3"/>
        <w:widowControl/>
        <w:spacing w:before="20" w:beforeAutospacing="0" w:after="20" w:afterAutospacing="0" w:line="520" w:lineRule="atLeast"/>
        <w:ind w:firstLine="420"/>
        <w:jc w:val="both"/>
        <w:rPr>
          <w:rFonts w:ascii="仿宋" w:eastAsia="仿宋" w:hAnsi="仿宋" w:cs="仿宋"/>
          <w:sz w:val="28"/>
          <w:szCs w:val="28"/>
        </w:rPr>
      </w:pPr>
      <w:r w:rsidRPr="001266CD">
        <w:rPr>
          <w:rFonts w:ascii="仿宋" w:eastAsia="仿宋" w:hAnsi="仿宋" w:cs="仿宋"/>
          <w:sz w:val="28"/>
          <w:szCs w:val="28"/>
        </w:rPr>
        <w:t>https://sthjj.wenzhou.gov.cn/art/2024/11/12/art_1229205271_58875708.html</w:t>
      </w:r>
    </w:p>
    <w:p w14:paraId="73380B3A" w14:textId="4AB8734C" w:rsidR="00EC60DC" w:rsidRPr="005000D0" w:rsidRDefault="00000000">
      <w:pPr>
        <w:pStyle w:val="a3"/>
        <w:widowControl/>
        <w:spacing w:before="20" w:beforeAutospacing="0" w:after="20" w:afterAutospacing="0" w:line="520" w:lineRule="atLeast"/>
        <w:ind w:firstLine="420"/>
        <w:jc w:val="both"/>
        <w:rPr>
          <w:rFonts w:ascii="仿宋" w:eastAsia="仿宋" w:hAnsi="仿宋" w:cs="仿宋"/>
          <w:b/>
          <w:bCs/>
          <w:sz w:val="28"/>
          <w:szCs w:val="28"/>
        </w:rPr>
      </w:pPr>
      <w:r w:rsidRPr="005000D0">
        <w:rPr>
          <w:rFonts w:ascii="仿宋" w:eastAsia="仿宋" w:hAnsi="仿宋" w:cs="仿宋" w:hint="eastAsia"/>
          <w:b/>
          <w:bCs/>
          <w:sz w:val="28"/>
          <w:szCs w:val="28"/>
        </w:rPr>
        <w:t>温州市市级集中式生活饮用水水源水质状况报告（2024年</w:t>
      </w:r>
      <w:r w:rsidR="001266CD">
        <w:rPr>
          <w:rFonts w:ascii="仿宋" w:eastAsia="仿宋" w:hAnsi="仿宋" w:cs="仿宋"/>
          <w:b/>
          <w:bCs/>
          <w:sz w:val="28"/>
          <w:szCs w:val="28"/>
        </w:rPr>
        <w:t>10</w:t>
      </w:r>
      <w:r w:rsidRPr="005000D0">
        <w:rPr>
          <w:rFonts w:ascii="仿宋" w:eastAsia="仿宋" w:hAnsi="仿宋" w:cs="仿宋" w:hint="eastAsia"/>
          <w:b/>
          <w:bCs/>
          <w:sz w:val="28"/>
          <w:szCs w:val="28"/>
        </w:rPr>
        <w:t>月）</w:t>
      </w:r>
    </w:p>
    <w:p w14:paraId="0880045D" w14:textId="67DEC21A" w:rsidR="005000D0" w:rsidRPr="005000D0" w:rsidRDefault="001266CD">
      <w:pPr>
        <w:pStyle w:val="a3"/>
        <w:widowControl/>
        <w:spacing w:before="20" w:beforeAutospacing="0" w:after="20" w:afterAutospacing="0" w:line="520" w:lineRule="atLeast"/>
        <w:ind w:firstLine="420"/>
        <w:jc w:val="both"/>
        <w:rPr>
          <w:rFonts w:ascii="仿宋" w:eastAsia="仿宋" w:hAnsi="仿宋" w:cs="仿宋"/>
          <w:sz w:val="28"/>
          <w:szCs w:val="28"/>
        </w:rPr>
      </w:pPr>
      <w:r w:rsidRPr="001266CD">
        <w:rPr>
          <w:rFonts w:ascii="仿宋" w:eastAsia="仿宋" w:hAnsi="仿宋" w:cs="仿宋"/>
          <w:sz w:val="28"/>
          <w:szCs w:val="28"/>
        </w:rPr>
        <w:lastRenderedPageBreak/>
        <w:t>https://sthjj.wenzhou.gov.cn/art/2024/11/12/art_1229205273_58875711.html</w:t>
      </w:r>
    </w:p>
    <w:sectPr w:rsidR="005000D0" w:rsidRPr="00500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276ED7"/>
    <w:multiLevelType w:val="singleLevel"/>
    <w:tmpl w:val="E6276ED7"/>
    <w:lvl w:ilvl="0">
      <w:start w:val="2"/>
      <w:numFmt w:val="decimal"/>
      <w:suff w:val="nothing"/>
      <w:lvlText w:val="%1、"/>
      <w:lvlJc w:val="left"/>
    </w:lvl>
  </w:abstractNum>
  <w:abstractNum w:abstractNumId="1" w15:restartNumberingAfterBreak="0">
    <w:nsid w:val="5FEEBCE2"/>
    <w:multiLevelType w:val="singleLevel"/>
    <w:tmpl w:val="5FEEBCE2"/>
    <w:lvl w:ilvl="0">
      <w:start w:val="5"/>
      <w:numFmt w:val="decimal"/>
      <w:suff w:val="nothing"/>
      <w:lvlText w:val="%1、"/>
      <w:lvlJc w:val="left"/>
    </w:lvl>
  </w:abstractNum>
  <w:num w:numId="1" w16cid:durableId="2005627574">
    <w:abstractNumId w:val="0"/>
  </w:num>
  <w:num w:numId="2" w16cid:durableId="583761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EyMzJjMmQwNTE2NTQ2OWZjZTFjZTc3M2I4ZWM2OGUifQ=="/>
  </w:docVars>
  <w:rsids>
    <w:rsidRoot w:val="7FF7EF6D"/>
    <w:rsid w:val="001266CD"/>
    <w:rsid w:val="001853BD"/>
    <w:rsid w:val="002A23A0"/>
    <w:rsid w:val="003639FA"/>
    <w:rsid w:val="003648A0"/>
    <w:rsid w:val="0037316D"/>
    <w:rsid w:val="005000D0"/>
    <w:rsid w:val="006C570F"/>
    <w:rsid w:val="008F0C2C"/>
    <w:rsid w:val="00E02353"/>
    <w:rsid w:val="00EC60DC"/>
    <w:rsid w:val="00ED591D"/>
    <w:rsid w:val="19217024"/>
    <w:rsid w:val="4118684C"/>
    <w:rsid w:val="6DF74532"/>
    <w:rsid w:val="7FF7E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7E0A8C9"/>
  <w15:docId w15:val="{E95372E4-3B71-304B-AB89-BD2BF38F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character" w:styleId="a4">
    <w:name w:val="FollowedHyperlink"/>
    <w:basedOn w:val="a0"/>
    <w:rPr>
      <w:color w:val="800080"/>
      <w:u w:val="single"/>
    </w:rPr>
  </w:style>
  <w:style w:type="character" w:styleId="a5">
    <w:name w:val="Hyperlink"/>
    <w:basedOn w:val="a0"/>
    <w:rPr>
      <w:color w:val="0000FF"/>
      <w:u w:val="single"/>
    </w:rPr>
  </w:style>
  <w:style w:type="paragraph" w:customStyle="1" w:styleId="cntitle">
    <w:name w:val="cntitle"/>
    <w:basedOn w:val="a"/>
    <w:pPr>
      <w:jc w:val="center"/>
    </w:pPr>
    <w:rPr>
      <w:b/>
      <w:bCs/>
    </w:rPr>
  </w:style>
  <w:style w:type="paragraph" w:customStyle="1" w:styleId="cnsubtitle">
    <w:name w:val="cnsubtitle"/>
    <w:basedOn w:val="a"/>
  </w:style>
  <w:style w:type="paragraph" w:customStyle="1" w:styleId="p">
    <w:name w:val="p"/>
    <w:basedOn w:val="a"/>
    <w:qFormat/>
    <w:pPr>
      <w:spacing w:line="390" w:lineRule="atLeast"/>
      <w:ind w:firstLine="420"/>
    </w:pPr>
    <w:rPr>
      <w:rFonts w:cs="Times New Roman"/>
      <w:kern w:val="0"/>
      <w:sz w:val="24"/>
    </w:rPr>
  </w:style>
  <w:style w:type="character" w:customStyle="1" w:styleId="spansect2Title">
    <w:name w:val="span_sect2Title"/>
    <w:basedOn w:val="a0"/>
    <w:qFormat/>
    <w:rPr>
      <w:b/>
      <w:bCs/>
    </w:rPr>
  </w:style>
  <w:style w:type="character" w:customStyle="1" w:styleId="any">
    <w:name w:val="any"/>
    <w:basedOn w:val="a0"/>
    <w:qFormat/>
  </w:style>
  <w:style w:type="character" w:customStyle="1" w:styleId="a6">
    <w:name w:val="a"/>
    <w:basedOn w:val="a0"/>
    <w:qFormat/>
  </w:style>
  <w:style w:type="character" w:styleId="a7">
    <w:name w:val="Unresolved Mention"/>
    <w:basedOn w:val="a0"/>
    <w:uiPriority w:val="99"/>
    <w:semiHidden/>
    <w:unhideWhenUsed/>
    <w:rsid w:val="00ED591D"/>
    <w:rPr>
      <w:color w:val="605E5C"/>
      <w:shd w:val="clear" w:color="auto" w:fill="E1DFDD"/>
    </w:rPr>
  </w:style>
  <w:style w:type="character" w:customStyle="1" w:styleId="apple-converted-space">
    <w:name w:val="apple-converted-space"/>
    <w:basedOn w:val="a0"/>
    <w:rsid w:val="0018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361">
      <w:bodyDiv w:val="1"/>
      <w:marLeft w:val="0"/>
      <w:marRight w:val="0"/>
      <w:marTop w:val="0"/>
      <w:marBottom w:val="0"/>
      <w:divBdr>
        <w:top w:val="none" w:sz="0" w:space="0" w:color="auto"/>
        <w:left w:val="none" w:sz="0" w:space="0" w:color="auto"/>
        <w:bottom w:val="none" w:sz="0" w:space="0" w:color="auto"/>
        <w:right w:val="none" w:sz="0" w:space="0" w:color="auto"/>
      </w:divBdr>
    </w:div>
    <w:div w:id="62145694">
      <w:bodyDiv w:val="1"/>
      <w:marLeft w:val="0"/>
      <w:marRight w:val="0"/>
      <w:marTop w:val="0"/>
      <w:marBottom w:val="0"/>
      <w:divBdr>
        <w:top w:val="none" w:sz="0" w:space="0" w:color="auto"/>
        <w:left w:val="none" w:sz="0" w:space="0" w:color="auto"/>
        <w:bottom w:val="none" w:sz="0" w:space="0" w:color="auto"/>
        <w:right w:val="none" w:sz="0" w:space="0" w:color="auto"/>
      </w:divBdr>
    </w:div>
    <w:div w:id="137112002">
      <w:bodyDiv w:val="1"/>
      <w:marLeft w:val="0"/>
      <w:marRight w:val="0"/>
      <w:marTop w:val="0"/>
      <w:marBottom w:val="0"/>
      <w:divBdr>
        <w:top w:val="none" w:sz="0" w:space="0" w:color="auto"/>
        <w:left w:val="none" w:sz="0" w:space="0" w:color="auto"/>
        <w:bottom w:val="none" w:sz="0" w:space="0" w:color="auto"/>
        <w:right w:val="none" w:sz="0" w:space="0" w:color="auto"/>
      </w:divBdr>
    </w:div>
    <w:div w:id="157770902">
      <w:bodyDiv w:val="1"/>
      <w:marLeft w:val="0"/>
      <w:marRight w:val="0"/>
      <w:marTop w:val="0"/>
      <w:marBottom w:val="0"/>
      <w:divBdr>
        <w:top w:val="none" w:sz="0" w:space="0" w:color="auto"/>
        <w:left w:val="none" w:sz="0" w:space="0" w:color="auto"/>
        <w:bottom w:val="none" w:sz="0" w:space="0" w:color="auto"/>
        <w:right w:val="none" w:sz="0" w:space="0" w:color="auto"/>
      </w:divBdr>
    </w:div>
    <w:div w:id="215091471">
      <w:bodyDiv w:val="1"/>
      <w:marLeft w:val="0"/>
      <w:marRight w:val="0"/>
      <w:marTop w:val="0"/>
      <w:marBottom w:val="0"/>
      <w:divBdr>
        <w:top w:val="none" w:sz="0" w:space="0" w:color="auto"/>
        <w:left w:val="none" w:sz="0" w:space="0" w:color="auto"/>
        <w:bottom w:val="none" w:sz="0" w:space="0" w:color="auto"/>
        <w:right w:val="none" w:sz="0" w:space="0" w:color="auto"/>
      </w:divBdr>
    </w:div>
    <w:div w:id="221674213">
      <w:bodyDiv w:val="1"/>
      <w:marLeft w:val="0"/>
      <w:marRight w:val="0"/>
      <w:marTop w:val="0"/>
      <w:marBottom w:val="0"/>
      <w:divBdr>
        <w:top w:val="none" w:sz="0" w:space="0" w:color="auto"/>
        <w:left w:val="none" w:sz="0" w:space="0" w:color="auto"/>
        <w:bottom w:val="none" w:sz="0" w:space="0" w:color="auto"/>
        <w:right w:val="none" w:sz="0" w:space="0" w:color="auto"/>
      </w:divBdr>
    </w:div>
    <w:div w:id="242881656">
      <w:bodyDiv w:val="1"/>
      <w:marLeft w:val="0"/>
      <w:marRight w:val="0"/>
      <w:marTop w:val="0"/>
      <w:marBottom w:val="0"/>
      <w:divBdr>
        <w:top w:val="none" w:sz="0" w:space="0" w:color="auto"/>
        <w:left w:val="none" w:sz="0" w:space="0" w:color="auto"/>
        <w:bottom w:val="none" w:sz="0" w:space="0" w:color="auto"/>
        <w:right w:val="none" w:sz="0" w:space="0" w:color="auto"/>
      </w:divBdr>
    </w:div>
    <w:div w:id="250117051">
      <w:bodyDiv w:val="1"/>
      <w:marLeft w:val="0"/>
      <w:marRight w:val="0"/>
      <w:marTop w:val="0"/>
      <w:marBottom w:val="0"/>
      <w:divBdr>
        <w:top w:val="none" w:sz="0" w:space="0" w:color="auto"/>
        <w:left w:val="none" w:sz="0" w:space="0" w:color="auto"/>
        <w:bottom w:val="none" w:sz="0" w:space="0" w:color="auto"/>
        <w:right w:val="none" w:sz="0" w:space="0" w:color="auto"/>
      </w:divBdr>
      <w:divsChild>
        <w:div w:id="18967465">
          <w:marLeft w:val="0"/>
          <w:marRight w:val="0"/>
          <w:marTop w:val="420"/>
          <w:marBottom w:val="0"/>
          <w:divBdr>
            <w:top w:val="none" w:sz="0" w:space="0" w:color="auto"/>
            <w:left w:val="none" w:sz="0" w:space="0" w:color="auto"/>
            <w:bottom w:val="none" w:sz="0" w:space="0" w:color="auto"/>
            <w:right w:val="none" w:sz="0" w:space="0" w:color="auto"/>
          </w:divBdr>
        </w:div>
        <w:div w:id="1396582145">
          <w:marLeft w:val="0"/>
          <w:marRight w:val="0"/>
          <w:marTop w:val="360"/>
          <w:marBottom w:val="0"/>
          <w:divBdr>
            <w:top w:val="none" w:sz="0" w:space="0" w:color="auto"/>
            <w:left w:val="none" w:sz="0" w:space="0" w:color="auto"/>
            <w:bottom w:val="none" w:sz="0" w:space="0" w:color="auto"/>
            <w:right w:val="none" w:sz="0" w:space="0" w:color="auto"/>
          </w:divBdr>
        </w:div>
        <w:div w:id="1717267159">
          <w:marLeft w:val="0"/>
          <w:marRight w:val="0"/>
          <w:marTop w:val="360"/>
          <w:marBottom w:val="0"/>
          <w:divBdr>
            <w:top w:val="none" w:sz="0" w:space="0" w:color="auto"/>
            <w:left w:val="none" w:sz="0" w:space="0" w:color="auto"/>
            <w:bottom w:val="none" w:sz="0" w:space="0" w:color="auto"/>
            <w:right w:val="none" w:sz="0" w:space="0" w:color="auto"/>
          </w:divBdr>
        </w:div>
        <w:div w:id="1347559916">
          <w:marLeft w:val="0"/>
          <w:marRight w:val="0"/>
          <w:marTop w:val="360"/>
          <w:marBottom w:val="0"/>
          <w:divBdr>
            <w:top w:val="none" w:sz="0" w:space="0" w:color="auto"/>
            <w:left w:val="none" w:sz="0" w:space="0" w:color="auto"/>
            <w:bottom w:val="none" w:sz="0" w:space="0" w:color="auto"/>
            <w:right w:val="none" w:sz="0" w:space="0" w:color="auto"/>
          </w:divBdr>
        </w:div>
        <w:div w:id="1809928771">
          <w:marLeft w:val="0"/>
          <w:marRight w:val="0"/>
          <w:marTop w:val="360"/>
          <w:marBottom w:val="0"/>
          <w:divBdr>
            <w:top w:val="none" w:sz="0" w:space="0" w:color="auto"/>
            <w:left w:val="none" w:sz="0" w:space="0" w:color="auto"/>
            <w:bottom w:val="none" w:sz="0" w:space="0" w:color="auto"/>
            <w:right w:val="none" w:sz="0" w:space="0" w:color="auto"/>
          </w:divBdr>
        </w:div>
        <w:div w:id="2126777321">
          <w:marLeft w:val="0"/>
          <w:marRight w:val="0"/>
          <w:marTop w:val="360"/>
          <w:marBottom w:val="0"/>
          <w:divBdr>
            <w:top w:val="none" w:sz="0" w:space="0" w:color="auto"/>
            <w:left w:val="none" w:sz="0" w:space="0" w:color="auto"/>
            <w:bottom w:val="none" w:sz="0" w:space="0" w:color="auto"/>
            <w:right w:val="none" w:sz="0" w:space="0" w:color="auto"/>
          </w:divBdr>
        </w:div>
        <w:div w:id="1866819241">
          <w:marLeft w:val="0"/>
          <w:marRight w:val="0"/>
          <w:marTop w:val="360"/>
          <w:marBottom w:val="0"/>
          <w:divBdr>
            <w:top w:val="none" w:sz="0" w:space="0" w:color="auto"/>
            <w:left w:val="none" w:sz="0" w:space="0" w:color="auto"/>
            <w:bottom w:val="none" w:sz="0" w:space="0" w:color="auto"/>
            <w:right w:val="none" w:sz="0" w:space="0" w:color="auto"/>
          </w:divBdr>
        </w:div>
        <w:div w:id="383138627">
          <w:marLeft w:val="0"/>
          <w:marRight w:val="0"/>
          <w:marTop w:val="360"/>
          <w:marBottom w:val="0"/>
          <w:divBdr>
            <w:top w:val="none" w:sz="0" w:space="0" w:color="auto"/>
            <w:left w:val="none" w:sz="0" w:space="0" w:color="auto"/>
            <w:bottom w:val="none" w:sz="0" w:space="0" w:color="auto"/>
            <w:right w:val="none" w:sz="0" w:space="0" w:color="auto"/>
          </w:divBdr>
        </w:div>
        <w:div w:id="372729042">
          <w:marLeft w:val="0"/>
          <w:marRight w:val="0"/>
          <w:marTop w:val="360"/>
          <w:marBottom w:val="0"/>
          <w:divBdr>
            <w:top w:val="none" w:sz="0" w:space="0" w:color="auto"/>
            <w:left w:val="none" w:sz="0" w:space="0" w:color="auto"/>
            <w:bottom w:val="none" w:sz="0" w:space="0" w:color="auto"/>
            <w:right w:val="none" w:sz="0" w:space="0" w:color="auto"/>
          </w:divBdr>
        </w:div>
        <w:div w:id="38408896">
          <w:marLeft w:val="0"/>
          <w:marRight w:val="0"/>
          <w:marTop w:val="360"/>
          <w:marBottom w:val="0"/>
          <w:divBdr>
            <w:top w:val="none" w:sz="0" w:space="0" w:color="auto"/>
            <w:left w:val="none" w:sz="0" w:space="0" w:color="auto"/>
            <w:bottom w:val="none" w:sz="0" w:space="0" w:color="auto"/>
            <w:right w:val="none" w:sz="0" w:space="0" w:color="auto"/>
          </w:divBdr>
        </w:div>
        <w:div w:id="1614703573">
          <w:marLeft w:val="0"/>
          <w:marRight w:val="0"/>
          <w:marTop w:val="360"/>
          <w:marBottom w:val="0"/>
          <w:divBdr>
            <w:top w:val="none" w:sz="0" w:space="0" w:color="auto"/>
            <w:left w:val="none" w:sz="0" w:space="0" w:color="auto"/>
            <w:bottom w:val="none" w:sz="0" w:space="0" w:color="auto"/>
            <w:right w:val="none" w:sz="0" w:space="0" w:color="auto"/>
          </w:divBdr>
        </w:div>
        <w:div w:id="2085686045">
          <w:marLeft w:val="0"/>
          <w:marRight w:val="0"/>
          <w:marTop w:val="360"/>
          <w:marBottom w:val="0"/>
          <w:divBdr>
            <w:top w:val="none" w:sz="0" w:space="0" w:color="auto"/>
            <w:left w:val="none" w:sz="0" w:space="0" w:color="auto"/>
            <w:bottom w:val="none" w:sz="0" w:space="0" w:color="auto"/>
            <w:right w:val="none" w:sz="0" w:space="0" w:color="auto"/>
          </w:divBdr>
        </w:div>
        <w:div w:id="1422945651">
          <w:marLeft w:val="0"/>
          <w:marRight w:val="0"/>
          <w:marTop w:val="360"/>
          <w:marBottom w:val="0"/>
          <w:divBdr>
            <w:top w:val="none" w:sz="0" w:space="0" w:color="auto"/>
            <w:left w:val="none" w:sz="0" w:space="0" w:color="auto"/>
            <w:bottom w:val="none" w:sz="0" w:space="0" w:color="auto"/>
            <w:right w:val="none" w:sz="0" w:space="0" w:color="auto"/>
          </w:divBdr>
        </w:div>
        <w:div w:id="1928803758">
          <w:marLeft w:val="0"/>
          <w:marRight w:val="0"/>
          <w:marTop w:val="360"/>
          <w:marBottom w:val="0"/>
          <w:divBdr>
            <w:top w:val="none" w:sz="0" w:space="0" w:color="auto"/>
            <w:left w:val="none" w:sz="0" w:space="0" w:color="auto"/>
            <w:bottom w:val="none" w:sz="0" w:space="0" w:color="auto"/>
            <w:right w:val="none" w:sz="0" w:space="0" w:color="auto"/>
          </w:divBdr>
        </w:div>
        <w:div w:id="1782258386">
          <w:marLeft w:val="0"/>
          <w:marRight w:val="0"/>
          <w:marTop w:val="360"/>
          <w:marBottom w:val="0"/>
          <w:divBdr>
            <w:top w:val="none" w:sz="0" w:space="0" w:color="auto"/>
            <w:left w:val="none" w:sz="0" w:space="0" w:color="auto"/>
            <w:bottom w:val="none" w:sz="0" w:space="0" w:color="auto"/>
            <w:right w:val="none" w:sz="0" w:space="0" w:color="auto"/>
          </w:divBdr>
        </w:div>
        <w:div w:id="1735153770">
          <w:marLeft w:val="0"/>
          <w:marRight w:val="0"/>
          <w:marTop w:val="360"/>
          <w:marBottom w:val="0"/>
          <w:divBdr>
            <w:top w:val="none" w:sz="0" w:space="0" w:color="auto"/>
            <w:left w:val="none" w:sz="0" w:space="0" w:color="auto"/>
            <w:bottom w:val="none" w:sz="0" w:space="0" w:color="auto"/>
            <w:right w:val="none" w:sz="0" w:space="0" w:color="auto"/>
          </w:divBdr>
        </w:div>
        <w:div w:id="101847895">
          <w:marLeft w:val="0"/>
          <w:marRight w:val="0"/>
          <w:marTop w:val="360"/>
          <w:marBottom w:val="0"/>
          <w:divBdr>
            <w:top w:val="none" w:sz="0" w:space="0" w:color="auto"/>
            <w:left w:val="none" w:sz="0" w:space="0" w:color="auto"/>
            <w:bottom w:val="none" w:sz="0" w:space="0" w:color="auto"/>
            <w:right w:val="none" w:sz="0" w:space="0" w:color="auto"/>
          </w:divBdr>
        </w:div>
        <w:div w:id="2029022837">
          <w:marLeft w:val="0"/>
          <w:marRight w:val="0"/>
          <w:marTop w:val="360"/>
          <w:marBottom w:val="0"/>
          <w:divBdr>
            <w:top w:val="none" w:sz="0" w:space="0" w:color="auto"/>
            <w:left w:val="none" w:sz="0" w:space="0" w:color="auto"/>
            <w:bottom w:val="none" w:sz="0" w:space="0" w:color="auto"/>
            <w:right w:val="none" w:sz="0" w:space="0" w:color="auto"/>
          </w:divBdr>
        </w:div>
        <w:div w:id="437219407">
          <w:marLeft w:val="0"/>
          <w:marRight w:val="0"/>
          <w:marTop w:val="360"/>
          <w:marBottom w:val="0"/>
          <w:divBdr>
            <w:top w:val="none" w:sz="0" w:space="0" w:color="auto"/>
            <w:left w:val="none" w:sz="0" w:space="0" w:color="auto"/>
            <w:bottom w:val="none" w:sz="0" w:space="0" w:color="auto"/>
            <w:right w:val="none" w:sz="0" w:space="0" w:color="auto"/>
          </w:divBdr>
        </w:div>
        <w:div w:id="790562214">
          <w:marLeft w:val="0"/>
          <w:marRight w:val="0"/>
          <w:marTop w:val="360"/>
          <w:marBottom w:val="0"/>
          <w:divBdr>
            <w:top w:val="none" w:sz="0" w:space="0" w:color="auto"/>
            <w:left w:val="none" w:sz="0" w:space="0" w:color="auto"/>
            <w:bottom w:val="none" w:sz="0" w:space="0" w:color="auto"/>
            <w:right w:val="none" w:sz="0" w:space="0" w:color="auto"/>
          </w:divBdr>
        </w:div>
        <w:div w:id="889682756">
          <w:marLeft w:val="0"/>
          <w:marRight w:val="0"/>
          <w:marTop w:val="360"/>
          <w:marBottom w:val="0"/>
          <w:divBdr>
            <w:top w:val="none" w:sz="0" w:space="0" w:color="auto"/>
            <w:left w:val="none" w:sz="0" w:space="0" w:color="auto"/>
            <w:bottom w:val="none" w:sz="0" w:space="0" w:color="auto"/>
            <w:right w:val="none" w:sz="0" w:space="0" w:color="auto"/>
          </w:divBdr>
        </w:div>
        <w:div w:id="2086367677">
          <w:marLeft w:val="0"/>
          <w:marRight w:val="0"/>
          <w:marTop w:val="360"/>
          <w:marBottom w:val="0"/>
          <w:divBdr>
            <w:top w:val="none" w:sz="0" w:space="0" w:color="auto"/>
            <w:left w:val="none" w:sz="0" w:space="0" w:color="auto"/>
            <w:bottom w:val="none" w:sz="0" w:space="0" w:color="auto"/>
            <w:right w:val="none" w:sz="0" w:space="0" w:color="auto"/>
          </w:divBdr>
        </w:div>
        <w:div w:id="263154676">
          <w:marLeft w:val="0"/>
          <w:marRight w:val="0"/>
          <w:marTop w:val="360"/>
          <w:marBottom w:val="0"/>
          <w:divBdr>
            <w:top w:val="none" w:sz="0" w:space="0" w:color="auto"/>
            <w:left w:val="none" w:sz="0" w:space="0" w:color="auto"/>
            <w:bottom w:val="none" w:sz="0" w:space="0" w:color="auto"/>
            <w:right w:val="none" w:sz="0" w:space="0" w:color="auto"/>
          </w:divBdr>
        </w:div>
      </w:divsChild>
    </w:div>
    <w:div w:id="256059252">
      <w:bodyDiv w:val="1"/>
      <w:marLeft w:val="0"/>
      <w:marRight w:val="0"/>
      <w:marTop w:val="0"/>
      <w:marBottom w:val="0"/>
      <w:divBdr>
        <w:top w:val="none" w:sz="0" w:space="0" w:color="auto"/>
        <w:left w:val="none" w:sz="0" w:space="0" w:color="auto"/>
        <w:bottom w:val="none" w:sz="0" w:space="0" w:color="auto"/>
        <w:right w:val="none" w:sz="0" w:space="0" w:color="auto"/>
      </w:divBdr>
    </w:div>
    <w:div w:id="265770325">
      <w:bodyDiv w:val="1"/>
      <w:marLeft w:val="0"/>
      <w:marRight w:val="0"/>
      <w:marTop w:val="0"/>
      <w:marBottom w:val="0"/>
      <w:divBdr>
        <w:top w:val="none" w:sz="0" w:space="0" w:color="auto"/>
        <w:left w:val="none" w:sz="0" w:space="0" w:color="auto"/>
        <w:bottom w:val="none" w:sz="0" w:space="0" w:color="auto"/>
        <w:right w:val="none" w:sz="0" w:space="0" w:color="auto"/>
      </w:divBdr>
    </w:div>
    <w:div w:id="268123980">
      <w:bodyDiv w:val="1"/>
      <w:marLeft w:val="0"/>
      <w:marRight w:val="0"/>
      <w:marTop w:val="0"/>
      <w:marBottom w:val="0"/>
      <w:divBdr>
        <w:top w:val="none" w:sz="0" w:space="0" w:color="auto"/>
        <w:left w:val="none" w:sz="0" w:space="0" w:color="auto"/>
        <w:bottom w:val="none" w:sz="0" w:space="0" w:color="auto"/>
        <w:right w:val="none" w:sz="0" w:space="0" w:color="auto"/>
      </w:divBdr>
    </w:div>
    <w:div w:id="270936401">
      <w:bodyDiv w:val="1"/>
      <w:marLeft w:val="0"/>
      <w:marRight w:val="0"/>
      <w:marTop w:val="0"/>
      <w:marBottom w:val="0"/>
      <w:divBdr>
        <w:top w:val="none" w:sz="0" w:space="0" w:color="auto"/>
        <w:left w:val="none" w:sz="0" w:space="0" w:color="auto"/>
        <w:bottom w:val="none" w:sz="0" w:space="0" w:color="auto"/>
        <w:right w:val="none" w:sz="0" w:space="0" w:color="auto"/>
      </w:divBdr>
    </w:div>
    <w:div w:id="271130697">
      <w:bodyDiv w:val="1"/>
      <w:marLeft w:val="0"/>
      <w:marRight w:val="0"/>
      <w:marTop w:val="0"/>
      <w:marBottom w:val="0"/>
      <w:divBdr>
        <w:top w:val="none" w:sz="0" w:space="0" w:color="auto"/>
        <w:left w:val="none" w:sz="0" w:space="0" w:color="auto"/>
        <w:bottom w:val="none" w:sz="0" w:space="0" w:color="auto"/>
        <w:right w:val="none" w:sz="0" w:space="0" w:color="auto"/>
      </w:divBdr>
    </w:div>
    <w:div w:id="299380798">
      <w:bodyDiv w:val="1"/>
      <w:marLeft w:val="0"/>
      <w:marRight w:val="0"/>
      <w:marTop w:val="0"/>
      <w:marBottom w:val="0"/>
      <w:divBdr>
        <w:top w:val="none" w:sz="0" w:space="0" w:color="auto"/>
        <w:left w:val="none" w:sz="0" w:space="0" w:color="auto"/>
        <w:bottom w:val="none" w:sz="0" w:space="0" w:color="auto"/>
        <w:right w:val="none" w:sz="0" w:space="0" w:color="auto"/>
      </w:divBdr>
    </w:div>
    <w:div w:id="413746601">
      <w:bodyDiv w:val="1"/>
      <w:marLeft w:val="0"/>
      <w:marRight w:val="0"/>
      <w:marTop w:val="0"/>
      <w:marBottom w:val="0"/>
      <w:divBdr>
        <w:top w:val="none" w:sz="0" w:space="0" w:color="auto"/>
        <w:left w:val="none" w:sz="0" w:space="0" w:color="auto"/>
        <w:bottom w:val="none" w:sz="0" w:space="0" w:color="auto"/>
        <w:right w:val="none" w:sz="0" w:space="0" w:color="auto"/>
      </w:divBdr>
    </w:div>
    <w:div w:id="498739961">
      <w:bodyDiv w:val="1"/>
      <w:marLeft w:val="0"/>
      <w:marRight w:val="0"/>
      <w:marTop w:val="0"/>
      <w:marBottom w:val="0"/>
      <w:divBdr>
        <w:top w:val="none" w:sz="0" w:space="0" w:color="auto"/>
        <w:left w:val="none" w:sz="0" w:space="0" w:color="auto"/>
        <w:bottom w:val="none" w:sz="0" w:space="0" w:color="auto"/>
        <w:right w:val="none" w:sz="0" w:space="0" w:color="auto"/>
      </w:divBdr>
    </w:div>
    <w:div w:id="502940183">
      <w:bodyDiv w:val="1"/>
      <w:marLeft w:val="0"/>
      <w:marRight w:val="0"/>
      <w:marTop w:val="0"/>
      <w:marBottom w:val="0"/>
      <w:divBdr>
        <w:top w:val="none" w:sz="0" w:space="0" w:color="auto"/>
        <w:left w:val="none" w:sz="0" w:space="0" w:color="auto"/>
        <w:bottom w:val="none" w:sz="0" w:space="0" w:color="auto"/>
        <w:right w:val="none" w:sz="0" w:space="0" w:color="auto"/>
      </w:divBdr>
    </w:div>
    <w:div w:id="509372051">
      <w:bodyDiv w:val="1"/>
      <w:marLeft w:val="0"/>
      <w:marRight w:val="0"/>
      <w:marTop w:val="0"/>
      <w:marBottom w:val="0"/>
      <w:divBdr>
        <w:top w:val="none" w:sz="0" w:space="0" w:color="auto"/>
        <w:left w:val="none" w:sz="0" w:space="0" w:color="auto"/>
        <w:bottom w:val="none" w:sz="0" w:space="0" w:color="auto"/>
        <w:right w:val="none" w:sz="0" w:space="0" w:color="auto"/>
      </w:divBdr>
    </w:div>
    <w:div w:id="519901229">
      <w:bodyDiv w:val="1"/>
      <w:marLeft w:val="0"/>
      <w:marRight w:val="0"/>
      <w:marTop w:val="0"/>
      <w:marBottom w:val="0"/>
      <w:divBdr>
        <w:top w:val="none" w:sz="0" w:space="0" w:color="auto"/>
        <w:left w:val="none" w:sz="0" w:space="0" w:color="auto"/>
        <w:bottom w:val="none" w:sz="0" w:space="0" w:color="auto"/>
        <w:right w:val="none" w:sz="0" w:space="0" w:color="auto"/>
      </w:divBdr>
    </w:div>
    <w:div w:id="534198033">
      <w:bodyDiv w:val="1"/>
      <w:marLeft w:val="0"/>
      <w:marRight w:val="0"/>
      <w:marTop w:val="0"/>
      <w:marBottom w:val="0"/>
      <w:divBdr>
        <w:top w:val="none" w:sz="0" w:space="0" w:color="auto"/>
        <w:left w:val="none" w:sz="0" w:space="0" w:color="auto"/>
        <w:bottom w:val="none" w:sz="0" w:space="0" w:color="auto"/>
        <w:right w:val="none" w:sz="0" w:space="0" w:color="auto"/>
      </w:divBdr>
    </w:div>
    <w:div w:id="600382626">
      <w:bodyDiv w:val="1"/>
      <w:marLeft w:val="0"/>
      <w:marRight w:val="0"/>
      <w:marTop w:val="0"/>
      <w:marBottom w:val="0"/>
      <w:divBdr>
        <w:top w:val="none" w:sz="0" w:space="0" w:color="auto"/>
        <w:left w:val="none" w:sz="0" w:space="0" w:color="auto"/>
        <w:bottom w:val="none" w:sz="0" w:space="0" w:color="auto"/>
        <w:right w:val="none" w:sz="0" w:space="0" w:color="auto"/>
      </w:divBdr>
    </w:div>
    <w:div w:id="606736214">
      <w:bodyDiv w:val="1"/>
      <w:marLeft w:val="0"/>
      <w:marRight w:val="0"/>
      <w:marTop w:val="0"/>
      <w:marBottom w:val="0"/>
      <w:divBdr>
        <w:top w:val="none" w:sz="0" w:space="0" w:color="auto"/>
        <w:left w:val="none" w:sz="0" w:space="0" w:color="auto"/>
        <w:bottom w:val="none" w:sz="0" w:space="0" w:color="auto"/>
        <w:right w:val="none" w:sz="0" w:space="0" w:color="auto"/>
      </w:divBdr>
    </w:div>
    <w:div w:id="635185853">
      <w:bodyDiv w:val="1"/>
      <w:marLeft w:val="0"/>
      <w:marRight w:val="0"/>
      <w:marTop w:val="0"/>
      <w:marBottom w:val="0"/>
      <w:divBdr>
        <w:top w:val="none" w:sz="0" w:space="0" w:color="auto"/>
        <w:left w:val="none" w:sz="0" w:space="0" w:color="auto"/>
        <w:bottom w:val="none" w:sz="0" w:space="0" w:color="auto"/>
        <w:right w:val="none" w:sz="0" w:space="0" w:color="auto"/>
      </w:divBdr>
    </w:div>
    <w:div w:id="803230862">
      <w:bodyDiv w:val="1"/>
      <w:marLeft w:val="0"/>
      <w:marRight w:val="0"/>
      <w:marTop w:val="0"/>
      <w:marBottom w:val="0"/>
      <w:divBdr>
        <w:top w:val="none" w:sz="0" w:space="0" w:color="auto"/>
        <w:left w:val="none" w:sz="0" w:space="0" w:color="auto"/>
        <w:bottom w:val="none" w:sz="0" w:space="0" w:color="auto"/>
        <w:right w:val="none" w:sz="0" w:space="0" w:color="auto"/>
      </w:divBdr>
    </w:div>
    <w:div w:id="831414223">
      <w:bodyDiv w:val="1"/>
      <w:marLeft w:val="0"/>
      <w:marRight w:val="0"/>
      <w:marTop w:val="0"/>
      <w:marBottom w:val="0"/>
      <w:divBdr>
        <w:top w:val="none" w:sz="0" w:space="0" w:color="auto"/>
        <w:left w:val="none" w:sz="0" w:space="0" w:color="auto"/>
        <w:bottom w:val="none" w:sz="0" w:space="0" w:color="auto"/>
        <w:right w:val="none" w:sz="0" w:space="0" w:color="auto"/>
      </w:divBdr>
    </w:div>
    <w:div w:id="852886735">
      <w:bodyDiv w:val="1"/>
      <w:marLeft w:val="0"/>
      <w:marRight w:val="0"/>
      <w:marTop w:val="0"/>
      <w:marBottom w:val="0"/>
      <w:divBdr>
        <w:top w:val="none" w:sz="0" w:space="0" w:color="auto"/>
        <w:left w:val="none" w:sz="0" w:space="0" w:color="auto"/>
        <w:bottom w:val="none" w:sz="0" w:space="0" w:color="auto"/>
        <w:right w:val="none" w:sz="0" w:space="0" w:color="auto"/>
      </w:divBdr>
    </w:div>
    <w:div w:id="890385479">
      <w:bodyDiv w:val="1"/>
      <w:marLeft w:val="0"/>
      <w:marRight w:val="0"/>
      <w:marTop w:val="0"/>
      <w:marBottom w:val="0"/>
      <w:divBdr>
        <w:top w:val="none" w:sz="0" w:space="0" w:color="auto"/>
        <w:left w:val="none" w:sz="0" w:space="0" w:color="auto"/>
        <w:bottom w:val="none" w:sz="0" w:space="0" w:color="auto"/>
        <w:right w:val="none" w:sz="0" w:space="0" w:color="auto"/>
      </w:divBdr>
    </w:div>
    <w:div w:id="926037937">
      <w:bodyDiv w:val="1"/>
      <w:marLeft w:val="0"/>
      <w:marRight w:val="0"/>
      <w:marTop w:val="0"/>
      <w:marBottom w:val="0"/>
      <w:divBdr>
        <w:top w:val="none" w:sz="0" w:space="0" w:color="auto"/>
        <w:left w:val="none" w:sz="0" w:space="0" w:color="auto"/>
        <w:bottom w:val="none" w:sz="0" w:space="0" w:color="auto"/>
        <w:right w:val="none" w:sz="0" w:space="0" w:color="auto"/>
      </w:divBdr>
    </w:div>
    <w:div w:id="959535850">
      <w:bodyDiv w:val="1"/>
      <w:marLeft w:val="0"/>
      <w:marRight w:val="0"/>
      <w:marTop w:val="0"/>
      <w:marBottom w:val="0"/>
      <w:divBdr>
        <w:top w:val="none" w:sz="0" w:space="0" w:color="auto"/>
        <w:left w:val="none" w:sz="0" w:space="0" w:color="auto"/>
        <w:bottom w:val="none" w:sz="0" w:space="0" w:color="auto"/>
        <w:right w:val="none" w:sz="0" w:space="0" w:color="auto"/>
      </w:divBdr>
    </w:div>
    <w:div w:id="967274683">
      <w:bodyDiv w:val="1"/>
      <w:marLeft w:val="0"/>
      <w:marRight w:val="0"/>
      <w:marTop w:val="0"/>
      <w:marBottom w:val="0"/>
      <w:divBdr>
        <w:top w:val="none" w:sz="0" w:space="0" w:color="auto"/>
        <w:left w:val="none" w:sz="0" w:space="0" w:color="auto"/>
        <w:bottom w:val="none" w:sz="0" w:space="0" w:color="auto"/>
        <w:right w:val="none" w:sz="0" w:space="0" w:color="auto"/>
      </w:divBdr>
    </w:div>
    <w:div w:id="1001663855">
      <w:bodyDiv w:val="1"/>
      <w:marLeft w:val="0"/>
      <w:marRight w:val="0"/>
      <w:marTop w:val="0"/>
      <w:marBottom w:val="0"/>
      <w:divBdr>
        <w:top w:val="none" w:sz="0" w:space="0" w:color="auto"/>
        <w:left w:val="none" w:sz="0" w:space="0" w:color="auto"/>
        <w:bottom w:val="none" w:sz="0" w:space="0" w:color="auto"/>
        <w:right w:val="none" w:sz="0" w:space="0" w:color="auto"/>
      </w:divBdr>
    </w:div>
    <w:div w:id="1009330351">
      <w:bodyDiv w:val="1"/>
      <w:marLeft w:val="0"/>
      <w:marRight w:val="0"/>
      <w:marTop w:val="0"/>
      <w:marBottom w:val="0"/>
      <w:divBdr>
        <w:top w:val="none" w:sz="0" w:space="0" w:color="auto"/>
        <w:left w:val="none" w:sz="0" w:space="0" w:color="auto"/>
        <w:bottom w:val="none" w:sz="0" w:space="0" w:color="auto"/>
        <w:right w:val="none" w:sz="0" w:space="0" w:color="auto"/>
      </w:divBdr>
    </w:div>
    <w:div w:id="1028750608">
      <w:bodyDiv w:val="1"/>
      <w:marLeft w:val="0"/>
      <w:marRight w:val="0"/>
      <w:marTop w:val="0"/>
      <w:marBottom w:val="0"/>
      <w:divBdr>
        <w:top w:val="none" w:sz="0" w:space="0" w:color="auto"/>
        <w:left w:val="none" w:sz="0" w:space="0" w:color="auto"/>
        <w:bottom w:val="none" w:sz="0" w:space="0" w:color="auto"/>
        <w:right w:val="none" w:sz="0" w:space="0" w:color="auto"/>
      </w:divBdr>
    </w:div>
    <w:div w:id="1177960087">
      <w:bodyDiv w:val="1"/>
      <w:marLeft w:val="0"/>
      <w:marRight w:val="0"/>
      <w:marTop w:val="0"/>
      <w:marBottom w:val="0"/>
      <w:divBdr>
        <w:top w:val="none" w:sz="0" w:space="0" w:color="auto"/>
        <w:left w:val="none" w:sz="0" w:space="0" w:color="auto"/>
        <w:bottom w:val="none" w:sz="0" w:space="0" w:color="auto"/>
        <w:right w:val="none" w:sz="0" w:space="0" w:color="auto"/>
      </w:divBdr>
      <w:divsChild>
        <w:div w:id="1396464384">
          <w:marLeft w:val="0"/>
          <w:marRight w:val="0"/>
          <w:marTop w:val="0"/>
          <w:marBottom w:val="0"/>
          <w:divBdr>
            <w:top w:val="none" w:sz="0" w:space="0" w:color="auto"/>
            <w:left w:val="none" w:sz="0" w:space="0" w:color="auto"/>
            <w:bottom w:val="none" w:sz="0" w:space="0" w:color="auto"/>
            <w:right w:val="none" w:sz="0" w:space="0" w:color="auto"/>
          </w:divBdr>
        </w:div>
        <w:div w:id="1029987369">
          <w:marLeft w:val="0"/>
          <w:marRight w:val="0"/>
          <w:marTop w:val="360"/>
          <w:marBottom w:val="0"/>
          <w:divBdr>
            <w:top w:val="none" w:sz="0" w:space="0" w:color="auto"/>
            <w:left w:val="none" w:sz="0" w:space="0" w:color="auto"/>
            <w:bottom w:val="none" w:sz="0" w:space="0" w:color="auto"/>
            <w:right w:val="none" w:sz="0" w:space="0" w:color="auto"/>
          </w:divBdr>
        </w:div>
        <w:div w:id="1033381065">
          <w:marLeft w:val="0"/>
          <w:marRight w:val="0"/>
          <w:marTop w:val="360"/>
          <w:marBottom w:val="0"/>
          <w:divBdr>
            <w:top w:val="none" w:sz="0" w:space="0" w:color="auto"/>
            <w:left w:val="none" w:sz="0" w:space="0" w:color="auto"/>
            <w:bottom w:val="none" w:sz="0" w:space="0" w:color="auto"/>
            <w:right w:val="none" w:sz="0" w:space="0" w:color="auto"/>
          </w:divBdr>
        </w:div>
        <w:div w:id="1096170562">
          <w:marLeft w:val="0"/>
          <w:marRight w:val="0"/>
          <w:marTop w:val="360"/>
          <w:marBottom w:val="0"/>
          <w:divBdr>
            <w:top w:val="none" w:sz="0" w:space="0" w:color="auto"/>
            <w:left w:val="none" w:sz="0" w:space="0" w:color="auto"/>
            <w:bottom w:val="none" w:sz="0" w:space="0" w:color="auto"/>
            <w:right w:val="none" w:sz="0" w:space="0" w:color="auto"/>
          </w:divBdr>
        </w:div>
      </w:divsChild>
    </w:div>
    <w:div w:id="1281449517">
      <w:bodyDiv w:val="1"/>
      <w:marLeft w:val="0"/>
      <w:marRight w:val="0"/>
      <w:marTop w:val="0"/>
      <w:marBottom w:val="0"/>
      <w:divBdr>
        <w:top w:val="none" w:sz="0" w:space="0" w:color="auto"/>
        <w:left w:val="none" w:sz="0" w:space="0" w:color="auto"/>
        <w:bottom w:val="none" w:sz="0" w:space="0" w:color="auto"/>
        <w:right w:val="none" w:sz="0" w:space="0" w:color="auto"/>
      </w:divBdr>
    </w:div>
    <w:div w:id="1289162157">
      <w:bodyDiv w:val="1"/>
      <w:marLeft w:val="0"/>
      <w:marRight w:val="0"/>
      <w:marTop w:val="0"/>
      <w:marBottom w:val="0"/>
      <w:divBdr>
        <w:top w:val="none" w:sz="0" w:space="0" w:color="auto"/>
        <w:left w:val="none" w:sz="0" w:space="0" w:color="auto"/>
        <w:bottom w:val="none" w:sz="0" w:space="0" w:color="auto"/>
        <w:right w:val="none" w:sz="0" w:space="0" w:color="auto"/>
      </w:divBdr>
    </w:div>
    <w:div w:id="1333950861">
      <w:bodyDiv w:val="1"/>
      <w:marLeft w:val="0"/>
      <w:marRight w:val="0"/>
      <w:marTop w:val="0"/>
      <w:marBottom w:val="0"/>
      <w:divBdr>
        <w:top w:val="none" w:sz="0" w:space="0" w:color="auto"/>
        <w:left w:val="none" w:sz="0" w:space="0" w:color="auto"/>
        <w:bottom w:val="none" w:sz="0" w:space="0" w:color="auto"/>
        <w:right w:val="none" w:sz="0" w:space="0" w:color="auto"/>
      </w:divBdr>
    </w:div>
    <w:div w:id="1340936244">
      <w:bodyDiv w:val="1"/>
      <w:marLeft w:val="0"/>
      <w:marRight w:val="0"/>
      <w:marTop w:val="0"/>
      <w:marBottom w:val="0"/>
      <w:divBdr>
        <w:top w:val="none" w:sz="0" w:space="0" w:color="auto"/>
        <w:left w:val="none" w:sz="0" w:space="0" w:color="auto"/>
        <w:bottom w:val="none" w:sz="0" w:space="0" w:color="auto"/>
        <w:right w:val="none" w:sz="0" w:space="0" w:color="auto"/>
      </w:divBdr>
    </w:div>
    <w:div w:id="1418594325">
      <w:bodyDiv w:val="1"/>
      <w:marLeft w:val="0"/>
      <w:marRight w:val="0"/>
      <w:marTop w:val="0"/>
      <w:marBottom w:val="0"/>
      <w:divBdr>
        <w:top w:val="none" w:sz="0" w:space="0" w:color="auto"/>
        <w:left w:val="none" w:sz="0" w:space="0" w:color="auto"/>
        <w:bottom w:val="none" w:sz="0" w:space="0" w:color="auto"/>
        <w:right w:val="none" w:sz="0" w:space="0" w:color="auto"/>
      </w:divBdr>
    </w:div>
    <w:div w:id="1502162618">
      <w:bodyDiv w:val="1"/>
      <w:marLeft w:val="0"/>
      <w:marRight w:val="0"/>
      <w:marTop w:val="0"/>
      <w:marBottom w:val="0"/>
      <w:divBdr>
        <w:top w:val="none" w:sz="0" w:space="0" w:color="auto"/>
        <w:left w:val="none" w:sz="0" w:space="0" w:color="auto"/>
        <w:bottom w:val="none" w:sz="0" w:space="0" w:color="auto"/>
        <w:right w:val="none" w:sz="0" w:space="0" w:color="auto"/>
      </w:divBdr>
    </w:div>
    <w:div w:id="1516459373">
      <w:bodyDiv w:val="1"/>
      <w:marLeft w:val="0"/>
      <w:marRight w:val="0"/>
      <w:marTop w:val="0"/>
      <w:marBottom w:val="0"/>
      <w:divBdr>
        <w:top w:val="none" w:sz="0" w:space="0" w:color="auto"/>
        <w:left w:val="none" w:sz="0" w:space="0" w:color="auto"/>
        <w:bottom w:val="none" w:sz="0" w:space="0" w:color="auto"/>
        <w:right w:val="none" w:sz="0" w:space="0" w:color="auto"/>
      </w:divBdr>
    </w:div>
    <w:div w:id="1522626660">
      <w:bodyDiv w:val="1"/>
      <w:marLeft w:val="0"/>
      <w:marRight w:val="0"/>
      <w:marTop w:val="0"/>
      <w:marBottom w:val="0"/>
      <w:divBdr>
        <w:top w:val="none" w:sz="0" w:space="0" w:color="auto"/>
        <w:left w:val="none" w:sz="0" w:space="0" w:color="auto"/>
        <w:bottom w:val="none" w:sz="0" w:space="0" w:color="auto"/>
        <w:right w:val="none" w:sz="0" w:space="0" w:color="auto"/>
      </w:divBdr>
    </w:div>
    <w:div w:id="1567758324">
      <w:bodyDiv w:val="1"/>
      <w:marLeft w:val="0"/>
      <w:marRight w:val="0"/>
      <w:marTop w:val="0"/>
      <w:marBottom w:val="0"/>
      <w:divBdr>
        <w:top w:val="none" w:sz="0" w:space="0" w:color="auto"/>
        <w:left w:val="none" w:sz="0" w:space="0" w:color="auto"/>
        <w:bottom w:val="none" w:sz="0" w:space="0" w:color="auto"/>
        <w:right w:val="none" w:sz="0" w:space="0" w:color="auto"/>
      </w:divBdr>
    </w:div>
    <w:div w:id="1612978280">
      <w:bodyDiv w:val="1"/>
      <w:marLeft w:val="0"/>
      <w:marRight w:val="0"/>
      <w:marTop w:val="0"/>
      <w:marBottom w:val="0"/>
      <w:divBdr>
        <w:top w:val="none" w:sz="0" w:space="0" w:color="auto"/>
        <w:left w:val="none" w:sz="0" w:space="0" w:color="auto"/>
        <w:bottom w:val="none" w:sz="0" w:space="0" w:color="auto"/>
        <w:right w:val="none" w:sz="0" w:space="0" w:color="auto"/>
      </w:divBdr>
    </w:div>
    <w:div w:id="1671054379">
      <w:bodyDiv w:val="1"/>
      <w:marLeft w:val="0"/>
      <w:marRight w:val="0"/>
      <w:marTop w:val="0"/>
      <w:marBottom w:val="0"/>
      <w:divBdr>
        <w:top w:val="none" w:sz="0" w:space="0" w:color="auto"/>
        <w:left w:val="none" w:sz="0" w:space="0" w:color="auto"/>
        <w:bottom w:val="none" w:sz="0" w:space="0" w:color="auto"/>
        <w:right w:val="none" w:sz="0" w:space="0" w:color="auto"/>
      </w:divBdr>
    </w:div>
    <w:div w:id="1738822413">
      <w:bodyDiv w:val="1"/>
      <w:marLeft w:val="0"/>
      <w:marRight w:val="0"/>
      <w:marTop w:val="0"/>
      <w:marBottom w:val="0"/>
      <w:divBdr>
        <w:top w:val="none" w:sz="0" w:space="0" w:color="auto"/>
        <w:left w:val="none" w:sz="0" w:space="0" w:color="auto"/>
        <w:bottom w:val="none" w:sz="0" w:space="0" w:color="auto"/>
        <w:right w:val="none" w:sz="0" w:space="0" w:color="auto"/>
      </w:divBdr>
    </w:div>
    <w:div w:id="1825047686">
      <w:bodyDiv w:val="1"/>
      <w:marLeft w:val="0"/>
      <w:marRight w:val="0"/>
      <w:marTop w:val="0"/>
      <w:marBottom w:val="0"/>
      <w:divBdr>
        <w:top w:val="none" w:sz="0" w:space="0" w:color="auto"/>
        <w:left w:val="none" w:sz="0" w:space="0" w:color="auto"/>
        <w:bottom w:val="none" w:sz="0" w:space="0" w:color="auto"/>
        <w:right w:val="none" w:sz="0" w:space="0" w:color="auto"/>
      </w:divBdr>
    </w:div>
    <w:div w:id="1972126896">
      <w:bodyDiv w:val="1"/>
      <w:marLeft w:val="0"/>
      <w:marRight w:val="0"/>
      <w:marTop w:val="0"/>
      <w:marBottom w:val="0"/>
      <w:divBdr>
        <w:top w:val="none" w:sz="0" w:space="0" w:color="auto"/>
        <w:left w:val="none" w:sz="0" w:space="0" w:color="auto"/>
        <w:bottom w:val="none" w:sz="0" w:space="0" w:color="auto"/>
        <w:right w:val="none" w:sz="0" w:space="0" w:color="auto"/>
      </w:divBdr>
    </w:div>
    <w:div w:id="2042780802">
      <w:bodyDiv w:val="1"/>
      <w:marLeft w:val="0"/>
      <w:marRight w:val="0"/>
      <w:marTop w:val="0"/>
      <w:marBottom w:val="0"/>
      <w:divBdr>
        <w:top w:val="none" w:sz="0" w:space="0" w:color="auto"/>
        <w:left w:val="none" w:sz="0" w:space="0" w:color="auto"/>
        <w:bottom w:val="none" w:sz="0" w:space="0" w:color="auto"/>
        <w:right w:val="none" w:sz="0" w:space="0" w:color="auto"/>
      </w:divBdr>
    </w:div>
    <w:div w:id="2048480320">
      <w:bodyDiv w:val="1"/>
      <w:marLeft w:val="0"/>
      <w:marRight w:val="0"/>
      <w:marTop w:val="0"/>
      <w:marBottom w:val="0"/>
      <w:divBdr>
        <w:top w:val="none" w:sz="0" w:space="0" w:color="auto"/>
        <w:left w:val="none" w:sz="0" w:space="0" w:color="auto"/>
        <w:bottom w:val="none" w:sz="0" w:space="0" w:color="auto"/>
        <w:right w:val="none" w:sz="0" w:space="0" w:color="auto"/>
      </w:divBdr>
    </w:div>
    <w:div w:id="2097433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朱利明-德恒律师</dc:creator>
  <cp:lastModifiedBy>Microsoft Office User</cp:lastModifiedBy>
  <cp:revision>5</cp:revision>
  <dcterms:created xsi:type="dcterms:W3CDTF">2024-06-06T09:30:00Z</dcterms:created>
  <dcterms:modified xsi:type="dcterms:W3CDTF">2024-11-15T07:53:00Z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5C16BA604AF39A2F4A116166FDF74012_41</vt:lpwstr>
  </property>
</Properties>
</file>