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3A7AB">
      <w:pPr>
        <w:spacing w:before="120" w:after="120" w:line="288" w:lineRule="auto"/>
        <w:ind w:left="0"/>
        <w:jc w:val="center"/>
        <w:rPr>
          <w:sz w:val="44"/>
          <w:szCs w:val="44"/>
        </w:rPr>
      </w:pPr>
      <w:r>
        <w:rPr>
          <w:rFonts w:ascii="Arial" w:hAnsi="Arial" w:eastAsia="等线" w:cs="Arial"/>
          <w:b/>
          <w:sz w:val="44"/>
          <w:szCs w:val="44"/>
        </w:rPr>
        <w:t>数字经济法律服务月刊 2024年</w:t>
      </w:r>
      <w:r>
        <w:rPr>
          <w:rFonts w:hint="eastAsia" w:ascii="Arial" w:hAnsi="Arial" w:eastAsia="等线" w:cs="Arial"/>
          <w:b/>
          <w:sz w:val="44"/>
          <w:szCs w:val="44"/>
          <w:lang w:val="en-US" w:eastAsia="zh-CN"/>
        </w:rPr>
        <w:t>10</w:t>
      </w:r>
      <w:r>
        <w:rPr>
          <w:rFonts w:ascii="Arial" w:hAnsi="Arial" w:eastAsia="等线" w:cs="Arial"/>
          <w:b/>
          <w:sz w:val="44"/>
          <w:szCs w:val="44"/>
        </w:rPr>
        <w:t>月刊</w:t>
      </w:r>
    </w:p>
    <w:p w14:paraId="4303F3D9">
      <w:pPr>
        <w:spacing w:before="120" w:after="120" w:line="288" w:lineRule="auto"/>
        <w:ind w:left="0"/>
        <w:jc w:val="center"/>
      </w:pPr>
      <w:r>
        <w:rPr>
          <w:rFonts w:ascii="Arial" w:hAnsi="Arial" w:eastAsia="等线" w:cs="Arial"/>
          <w:b/>
          <w:sz w:val="22"/>
        </w:rPr>
        <w:t xml:space="preserve"> </w:t>
      </w:r>
    </w:p>
    <w:p w14:paraId="16150599">
      <w:pPr>
        <w:spacing w:before="120" w:after="120" w:line="288" w:lineRule="auto"/>
        <w:ind w:left="0"/>
        <w:jc w:val="center"/>
        <w:rPr>
          <w:rFonts w:ascii="Arial" w:hAnsi="Arial" w:eastAsia="等线" w:cs="Arial"/>
          <w:b/>
          <w:sz w:val="22"/>
        </w:rPr>
      </w:pPr>
    </w:p>
    <w:p w14:paraId="7F1A2268">
      <w:pPr>
        <w:spacing w:before="120" w:after="120" w:line="288" w:lineRule="auto"/>
        <w:ind w:left="0"/>
        <w:jc w:val="center"/>
      </w:pPr>
      <w:r>
        <w:rPr>
          <w:rFonts w:ascii="Arial" w:hAnsi="Arial" w:eastAsia="等线" w:cs="Arial"/>
          <w:b/>
          <w:sz w:val="22"/>
        </w:rPr>
        <w:t>【立法前沿】</w:t>
      </w:r>
    </w:p>
    <w:p w14:paraId="130BA13E">
      <w:pPr>
        <w:spacing w:before="120" w:after="120" w:line="288" w:lineRule="auto"/>
        <w:ind w:left="0"/>
        <w:jc w:val="left"/>
      </w:pPr>
    </w:p>
    <w:p w14:paraId="35D3B0CB">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中共中央办公厅、国务院办公厅发布《关于加快公共数据资源开发利用的意见》</w:t>
      </w:r>
    </w:p>
    <w:p w14:paraId="008B5D4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539E382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中共中央办公厅、国务院办公厅发布《关于加快公共数据资源开发利用的意见》，</w:t>
      </w:r>
      <w:bookmarkStart w:id="0" w:name="_GoBack"/>
      <w:bookmarkEnd w:id="0"/>
      <w:r>
        <w:rPr>
          <w:rFonts w:hint="eastAsia" w:ascii="Arial" w:hAnsi="Arial" w:eastAsia="等线" w:cs="Arial"/>
          <w:sz w:val="22"/>
          <w:lang w:val="en-US" w:eastAsia="zh-CN"/>
        </w:rPr>
        <w:t>意味着中央层面首次对公共数据资源开发利用进行系统部署。意见强调了在习近平新时代中国特色社会主义思想指导下，通过全面贯彻新发展理念，破除公共数据流通使用的体制性障碍，激发共享开放的动力，优化资源配置，释放市场创新活力。具体措施包括推进政务数据共享、有序推动公共数据开放、鼓励公共数据授权运营、加强资源管理、规范授权运营、鼓励应用创新、推动数据产业健康发展、统筹发展和安全以及强化组织实施。此外，还提出了加强资金保障、增强支撑能力和加强评价监督的要求，以确保公共数据资源开发利用工作的顺利进行。通过这些举措，目标是到2025年显著提升公共数据资源供给规模和质量，到2030年全面建成数据开发利用体系，充分发挥数据要素的作用，为数字经济的发展和国家竞争新优势的构筑奠定坚实的基础。</w:t>
      </w:r>
    </w:p>
    <w:p w14:paraId="7E28EB4C">
      <w:pPr>
        <w:spacing w:before="120" w:after="120" w:line="288" w:lineRule="auto"/>
        <w:ind w:firstLine="440" w:firstLineChars="200"/>
        <w:jc w:val="left"/>
        <w:rPr>
          <w:rFonts w:hint="eastAsia" w:ascii="Arial" w:hAnsi="Arial" w:eastAsia="等线" w:cs="Arial"/>
          <w:sz w:val="22"/>
          <w:lang w:val="en-US" w:eastAsia="zh-CN"/>
        </w:rPr>
      </w:pPr>
    </w:p>
    <w:p w14:paraId="45F4758A">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中国政府网</w:t>
      </w:r>
    </w:p>
    <w:p w14:paraId="7745DA8B">
      <w:pPr>
        <w:spacing w:before="120" w:after="120" w:line="288" w:lineRule="auto"/>
        <w:ind w:left="0"/>
        <w:jc w:val="left"/>
        <w:rPr>
          <w:rFonts w:ascii="Arial" w:hAnsi="Arial" w:eastAsia="等线" w:cs="Arial"/>
          <w:b/>
          <w:color w:val="245BDB"/>
          <w:sz w:val="22"/>
        </w:rPr>
      </w:pPr>
      <w:r>
        <w:rPr>
          <w:rFonts w:hint="eastAsia" w:ascii="Arial" w:hAnsi="Arial" w:eastAsia="等线" w:cs="Arial"/>
          <w:color w:val="3370FF"/>
          <w:sz w:val="22"/>
          <w:u w:val="single"/>
        </w:rPr>
        <w:t>https://www.gov.cn/zhengce/202410/content_6978911.htm</w:t>
      </w:r>
    </w:p>
    <w:p w14:paraId="67F714BE">
      <w:pPr>
        <w:spacing w:before="120" w:after="120" w:line="288" w:lineRule="auto"/>
        <w:ind w:left="0"/>
        <w:jc w:val="left"/>
        <w:rPr>
          <w:rFonts w:hint="eastAsia" w:ascii="Arial" w:hAnsi="Arial" w:eastAsia="等线" w:cs="Arial"/>
          <w:color w:val="3370FF"/>
          <w:sz w:val="22"/>
          <w:u w:val="single"/>
        </w:rPr>
      </w:pPr>
    </w:p>
    <w:p w14:paraId="3095A433">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国家发展改革委就《公共数据资源登记管理暂行办法》公开征求意见</w:t>
      </w:r>
    </w:p>
    <w:p w14:paraId="37A2399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5309BE7D">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10月12日，国家发展改革委联合相关部门起草了《公共数据资源登记管理暂行办法》，征求公众意见。该办法定义了公共数据资源，明确了登记主体和机构的责任义务，强调了维护国家安全、公共利益、个人隐私和信息安全的原则。办法详细规定了公共数据资源登记的程序，包括申请、受理、审查、公示和凭证发放等，并对不同情况进行分类处理。同时，强调了监督管理的重要性，确立了分级监督管理体制，并对违规行为设定了处罚措施。地方数据主管部门可依据该办法制定实施细则，办法还明确了解释权和施行时间。该办法旨在建立全国统一的公共数据资源登记体系，推动数据资源有效共享和应用，确保数据安全和隐私保护。</w:t>
      </w:r>
    </w:p>
    <w:p w14:paraId="76F312EA">
      <w:pPr>
        <w:spacing w:before="120" w:after="120" w:line="288" w:lineRule="auto"/>
        <w:ind w:left="0" w:firstLine="440" w:firstLineChars="200"/>
        <w:jc w:val="left"/>
        <w:rPr>
          <w:rFonts w:hint="eastAsia" w:ascii="Arial" w:hAnsi="Arial" w:eastAsia="等线" w:cs="Arial"/>
          <w:sz w:val="22"/>
          <w:lang w:val="en-US" w:eastAsia="zh-CN"/>
        </w:rPr>
      </w:pPr>
    </w:p>
    <w:p w14:paraId="14945181">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国家发展和改革委员会 </w:t>
      </w:r>
    </w:p>
    <w:p w14:paraId="3C8E9645">
      <w:pPr>
        <w:spacing w:before="120" w:after="120" w:line="288" w:lineRule="auto"/>
        <w:ind w:left="0"/>
        <w:jc w:val="left"/>
        <w:rPr>
          <w:rFonts w:ascii="Arial" w:hAnsi="Arial" w:eastAsia="等线" w:cs="Arial"/>
          <w:b/>
          <w:color w:val="245BDB"/>
          <w:sz w:val="22"/>
        </w:rPr>
      </w:pPr>
      <w:r>
        <w:rPr>
          <w:rFonts w:hint="eastAsia" w:ascii="Arial" w:hAnsi="Arial" w:eastAsia="等线" w:cs="Arial"/>
          <w:color w:val="3370FF"/>
          <w:sz w:val="22"/>
          <w:u w:val="single"/>
        </w:rPr>
        <w:t>https://yyglxxbsgw.ndrc.gov.cn/htmls/article/article.html?articleId=2c97d16b-9091ce05-0192-7ffe5fd4-0023</w:t>
      </w:r>
    </w:p>
    <w:p w14:paraId="6A194692">
      <w:pPr>
        <w:spacing w:before="120" w:after="120" w:line="288" w:lineRule="auto"/>
        <w:ind w:left="0"/>
        <w:jc w:val="left"/>
        <w:rPr>
          <w:rFonts w:ascii="Arial" w:hAnsi="Arial" w:eastAsia="等线" w:cs="Arial"/>
          <w:b/>
          <w:color w:val="245BDB"/>
          <w:sz w:val="22"/>
        </w:rPr>
      </w:pPr>
    </w:p>
    <w:p w14:paraId="02285D18">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国家数据局就《公共数据资源授权运营实施规范（试行）》公开征求意见</w:t>
      </w:r>
    </w:p>
    <w:p w14:paraId="78D0C56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1FCE3A84">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10月12日，国家数据局会同有关部门研究起草了《公共数据资源授权运营实施规范（试行）》，征求公众意见。规范旨在推进公共数据资源的开发利用，规范授权运营行为，促进一体化数据市场的培育，实现数据要素的价值释放。规范依据《中共中央国务院关于构建更加完善的要素市场化配置体制机制的意见》等相关文件制定，涵盖了公共数据资源授权运营的基本原则、基本要求、方案编制、协议签订、运营实施、运营管理等方面。其中，强调了依法合规、公平透明、公益优先等原则，要求授权运营应在不危害国家安全、公共利益的前提下进行，并明确了实施机构和运营机构的责任与义务。此外，还规定了公共数据产品和服务的价格政策、信息公开要求以及数据安全和个人信息保护措施。整个规范旨在建立一个全面、系统的公共数据资源授权运营管理体系，以推动数据资源的有效利用和发展。</w:t>
      </w:r>
    </w:p>
    <w:p w14:paraId="60CC4E5D">
      <w:pPr>
        <w:spacing w:before="120" w:after="120" w:line="288" w:lineRule="auto"/>
        <w:ind w:left="0" w:firstLine="440" w:firstLineChars="200"/>
        <w:jc w:val="left"/>
        <w:rPr>
          <w:rFonts w:hint="eastAsia" w:ascii="Arial" w:hAnsi="Arial" w:eastAsia="等线" w:cs="Arial"/>
          <w:sz w:val="22"/>
          <w:lang w:val="en-US" w:eastAsia="zh-CN"/>
        </w:rPr>
      </w:pPr>
    </w:p>
    <w:p w14:paraId="607A4276">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天津市数据发展中心 </w:t>
      </w:r>
    </w:p>
    <w:p w14:paraId="77FE530D">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"https://tjdsj.tjcac.gov.cn/tjsg/202410/t20241015_6753696.html" </w:instrText>
      </w:r>
      <w:r>
        <w:rPr>
          <w:rFonts w:hint="eastAsia" w:ascii="Arial" w:hAnsi="Arial" w:eastAsia="等线" w:cs="Arial"/>
          <w:color w:val="3370FF"/>
          <w:sz w:val="22"/>
          <w:u w:val="single"/>
        </w:rPr>
        <w:fldChar w:fldCharType="separate"/>
      </w:r>
      <w:r>
        <w:rPr>
          <w:rStyle w:val="6"/>
          <w:rFonts w:hint="eastAsia" w:ascii="Arial" w:hAnsi="Arial" w:eastAsia="等线" w:cs="Arial"/>
          <w:sz w:val="22"/>
        </w:rPr>
        <w:t>https://tjdsj.tjcac.gov.cn/tjsg/202410/t20241015_6753696.html</w:t>
      </w:r>
      <w:r>
        <w:rPr>
          <w:rFonts w:hint="eastAsia" w:ascii="Arial" w:hAnsi="Arial" w:eastAsia="等线" w:cs="Arial"/>
          <w:color w:val="3370FF"/>
          <w:sz w:val="22"/>
          <w:u w:val="single"/>
        </w:rPr>
        <w:fldChar w:fldCharType="end"/>
      </w:r>
    </w:p>
    <w:p w14:paraId="63C50462">
      <w:pPr>
        <w:spacing w:before="120" w:after="120" w:line="288" w:lineRule="auto"/>
        <w:ind w:left="0"/>
        <w:jc w:val="left"/>
        <w:rPr>
          <w:rFonts w:hint="eastAsia" w:ascii="Arial" w:hAnsi="Arial" w:eastAsia="等线" w:cs="Arial"/>
          <w:color w:val="3370FF"/>
          <w:sz w:val="22"/>
          <w:u w:val="single"/>
        </w:rPr>
      </w:pPr>
    </w:p>
    <w:p w14:paraId="38A698C3">
      <w:pPr>
        <w:spacing w:before="120" w:after="120" w:line="288" w:lineRule="auto"/>
        <w:ind w:left="0"/>
        <w:jc w:val="left"/>
      </w:pPr>
    </w:p>
    <w:p w14:paraId="5DBAA5C8">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国家数据局就《可信数据空间发展行动计划（2024—2028年）》公开征求意见</w:t>
      </w:r>
    </w:p>
    <w:p w14:paraId="3DF9D14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2E893218">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10月18日，国家数据局发布了《可信数据空间发展行动计划（2024—2028年）》草案，征求公众意见。该计划旨在引导可信数据空间的发展，促进数据合规流通，加速数字经济建设。计划目标是到2028年，建立完善的可信数据空间标准、技术、生态和安全体系，实现数据资源的有效共享和利用，构建互联、资源集聚、生态繁荣的数据生态体系。行动计划包括能力建设、推广、国际合作等方面，强调构建数据空间的可信管控、资源交互和价值共创三大核心能力，涵盖数据安全认证、资源高效交互、价值共创与分配机制等。同时，计划提出加强标准化建设、技术攻关、国际合作等措施，确保可信数据空间的健康有序发展。整个计划通过多方参与和跨界合作，推动数据资源的优化配置和高效利用，助力经济数字化转型和社会治理现代化。</w:t>
      </w:r>
    </w:p>
    <w:p w14:paraId="789790F8">
      <w:pPr>
        <w:spacing w:before="120" w:after="120" w:line="288" w:lineRule="auto"/>
        <w:ind w:left="0" w:firstLine="440" w:firstLineChars="200"/>
        <w:jc w:val="left"/>
        <w:rPr>
          <w:rFonts w:hint="eastAsia" w:ascii="Arial" w:hAnsi="Arial" w:eastAsia="等线" w:cs="Arial"/>
          <w:sz w:val="22"/>
          <w:lang w:val="en-US" w:eastAsia="zh-CN"/>
        </w:rPr>
      </w:pPr>
    </w:p>
    <w:p w14:paraId="4087EE8E">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天津市数据发展中心 </w:t>
      </w:r>
    </w:p>
    <w:p w14:paraId="3BD9392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https://tjdsj.tjcac.gov.cn/tjsg/gjsjj/202410/t20241023_6759620.html</w:t>
      </w:r>
    </w:p>
    <w:p w14:paraId="67695EEB">
      <w:pPr>
        <w:spacing w:before="120" w:after="120" w:line="288" w:lineRule="auto"/>
        <w:ind w:left="0"/>
        <w:jc w:val="left"/>
        <w:rPr>
          <w:rFonts w:hint="eastAsia" w:ascii="Arial" w:hAnsi="Arial" w:eastAsia="等线" w:cs="Arial"/>
          <w:color w:val="3370FF"/>
          <w:sz w:val="22"/>
          <w:u w:val="single"/>
        </w:rPr>
      </w:pPr>
    </w:p>
    <w:p w14:paraId="4AC6A898">
      <w:pPr>
        <w:spacing w:before="120" w:after="120" w:line="288" w:lineRule="auto"/>
        <w:ind w:left="0"/>
        <w:jc w:val="left"/>
        <w:rPr>
          <w:rFonts w:hint="eastAsia" w:ascii="Arial" w:hAnsi="Arial" w:eastAsia="等线" w:cs="Arial"/>
          <w:color w:val="3370FF"/>
          <w:sz w:val="22"/>
          <w:u w:val="single"/>
        </w:rPr>
      </w:pPr>
    </w:p>
    <w:p w14:paraId="1BD1540B">
      <w:pPr>
        <w:spacing w:before="120" w:after="120" w:line="288" w:lineRule="auto"/>
        <w:ind w:left="0"/>
        <w:jc w:val="left"/>
        <w:rPr>
          <w:rFonts w:hint="eastAsia" w:ascii="Arial" w:hAnsi="Arial" w:eastAsia="等线" w:cs="Arial"/>
          <w:color w:val="3370FF"/>
          <w:sz w:val="22"/>
          <w:u w:val="single"/>
        </w:rPr>
      </w:pPr>
    </w:p>
    <w:p w14:paraId="7FBCCB2E">
      <w:pPr>
        <w:spacing w:before="120" w:after="120" w:line="288" w:lineRule="auto"/>
        <w:ind w:left="0"/>
        <w:jc w:val="center"/>
      </w:pPr>
      <w:r>
        <w:rPr>
          <w:rFonts w:ascii="Arial" w:hAnsi="Arial" w:eastAsia="等线" w:cs="Arial"/>
          <w:b/>
          <w:sz w:val="22"/>
        </w:rPr>
        <w:t>【审判观点】</w:t>
      </w:r>
    </w:p>
    <w:p w14:paraId="02C9FB81">
      <w:pPr>
        <w:spacing w:before="120" w:after="120" w:line="288" w:lineRule="auto"/>
        <w:ind w:left="0"/>
        <w:jc w:val="left"/>
      </w:pPr>
    </w:p>
    <w:p w14:paraId="0188130A">
      <w:pPr>
        <w:spacing w:before="120" w:after="120" w:line="288" w:lineRule="auto"/>
        <w:ind w:left="0"/>
        <w:jc w:val="left"/>
        <w:rPr>
          <w:rFonts w:hint="default" w:eastAsia="等线"/>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平台经济</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 xml:space="preserve"> 问答平台“答主”因使用AI内容误导未成年人遭封号，法院确认封号合法</w:t>
      </w:r>
    </w:p>
    <w:p w14:paraId="3D919792">
      <w:pPr>
        <w:spacing w:before="120" w:after="120" w:line="288" w:lineRule="auto"/>
        <w:jc w:val="left"/>
        <w:rPr>
          <w:rFonts w:hint="eastAsia" w:ascii="Arial" w:hAnsi="Arial" w:eastAsia="等线" w:cs="Arial"/>
          <w:sz w:val="22"/>
          <w:lang w:val="en-US" w:eastAsia="zh-CN"/>
        </w:rPr>
      </w:pPr>
    </w:p>
    <w:p w14:paraId="3D415366">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原告是平台注册用户，被告是平台运营者。原告是中学教师，在平台的“答主中心”为学生和家长解答学科问题。2023年7月，被告将原告的涉案平台账号永久封禁，理由为原告违背平台协议恶意滥用AI工具进行答题。原告认为，被告平台协议中的格式条款面对广大受众，无端封禁原告的账号有失公平，系“霸王条款”，请求法院判令被告解封其账号并返还原告于涉案平台获得的收益8000元。被告某平台运营者辩称，原告以勾选方式同意了《问答平台协议》，该协议和涉案平台的账号处罚规则明确披露了问答行为的禁止性事项以及对应的违约责任。原告作为教育领域从业者，采用“照抄、搬运AIGC生成内容”进行答题，且答题过程中存在大量不文明用语、涉嫌恶意引导未成年人，会对网络生态造成不良影响，已构成严重违约，被告按约定封禁原告的账号并无不当。</w:t>
      </w:r>
    </w:p>
    <w:p w14:paraId="603C1F7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法院认为，《中华人民共和国民法典》第四百六十五条规定，依法成立的合同，受法律保护。本案中，原告于涉案平台注册账号并使用相关服务，需勾选同意《问答平台协议》等协议，与被告建立了网络服务合同关系。该合同系双方当事人真实意思表示，不违反法律、法规的强制性规定，合法有效。《中华人民共和国民法典》第五百零九条规定，当事人应当按照约定全面履行自己的义务。涉案平台《问答平台协议》明确规定，用户有任何违反法律法规或本协议、平台规则的行为，或平台收到他人举报或投诉用户的行为，或平台收到监管机关的要求，平台有权依据合理判断对用户的行为作出包括但不限于拒绝发布、要求整改、删除全部或部分问一问内容、扣除收益、暂停或终止本服务的处理决定，并保留对该等违反行为采取本协议约定及法律所能提供的所有补救手段的权利。原告应当遵守网络平台的言论规范，被告也有权对违规行为依照相关规范作出处理。涉案账号多次存在照抄、搬运人工智能生成的内容进行答题，用低俗、不文明言论与提问用户相互辱骂，涉嫌教唆、鼓励向其提问的其他用户实行违法行为等多种破坏平台秩序、对网络生态造成不良影响的内容，属于平台协议所禁止的行为。按照双方协议约定，被告有权终止对原告的服务并不予结算相关收入。</w:t>
      </w:r>
    </w:p>
    <w:p w14:paraId="2AB9C81A">
      <w:pPr>
        <w:spacing w:before="120" w:after="120" w:line="288" w:lineRule="auto"/>
        <w:ind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在公开问答平台中，答主应当严格遵守平台规则，既要认真回答提问者的问题，又要充分考虑到答复可能会带来的社会影响。教师接触的对象主要是未成年人和家长，要求从业人员具备较高的职业道德和人文素养，如存在造假、发表不文明言论、教唆违法违规行为等，较之一般社会主体，将造成更大的不良影响。本案原告作为一名人民教师，肩负着教书育人、启迪未来的使命，不仅该传授知识，还应引导未成年人树立正确的价值观、人生观和世界观。</w:t>
      </w:r>
    </w:p>
    <w:p w14:paraId="4730C0D0">
      <w:pPr>
        <w:spacing w:before="120" w:after="120" w:line="288" w:lineRule="auto"/>
        <w:ind w:firstLine="440" w:firstLineChars="200"/>
        <w:jc w:val="left"/>
        <w:rPr>
          <w:rFonts w:hint="default" w:ascii="Arial" w:hAnsi="Arial" w:eastAsia="等线" w:cs="Arial"/>
          <w:sz w:val="22"/>
          <w:lang w:val="en-US" w:eastAsia="zh-CN"/>
        </w:rPr>
      </w:pPr>
    </w:p>
    <w:p w14:paraId="18712B66">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b w:val="0"/>
          <w:bCs/>
          <w:sz w:val="22"/>
          <w:lang w:val="en-US" w:eastAsia="zh-CN"/>
        </w:rPr>
        <w:t>北京互联网法院微信公众号</w:t>
      </w:r>
    </w:p>
    <w:p w14:paraId="47218DFE">
      <w:pPr>
        <w:spacing w:before="120" w:after="120" w:line="288" w:lineRule="auto"/>
        <w:ind w:left="0"/>
        <w:jc w:val="both"/>
        <w:rPr>
          <w:rFonts w:ascii="Arial" w:hAnsi="Arial" w:eastAsia="等线" w:cs="Arial"/>
          <w:b/>
          <w:sz w:val="22"/>
        </w:rPr>
      </w:pPr>
      <w:r>
        <w:rPr>
          <w:rFonts w:hint="eastAsia" w:ascii="Arial" w:hAnsi="Arial" w:eastAsia="等线" w:cs="Arial"/>
          <w:color w:val="3370FF"/>
          <w:sz w:val="22"/>
          <w:u w:val="single"/>
        </w:rPr>
        <w:t>https://mp.weixin.qq.com/s/MBgdkzxSJSwHB8vkent0ig</w:t>
      </w:r>
    </w:p>
    <w:p w14:paraId="19DAC3B0">
      <w:pPr>
        <w:spacing w:before="120" w:after="120" w:line="288" w:lineRule="auto"/>
        <w:ind w:left="0"/>
        <w:jc w:val="center"/>
        <w:rPr>
          <w:rFonts w:ascii="Arial" w:hAnsi="Arial" w:eastAsia="等线" w:cs="Arial"/>
          <w:b/>
          <w:sz w:val="22"/>
        </w:rPr>
      </w:pPr>
    </w:p>
    <w:p w14:paraId="301B23AB">
      <w:pPr>
        <w:spacing w:before="120" w:after="120" w:line="288" w:lineRule="auto"/>
        <w:ind w:left="0"/>
        <w:jc w:val="center"/>
      </w:pPr>
      <w:r>
        <w:rPr>
          <w:rFonts w:ascii="Arial" w:hAnsi="Arial" w:eastAsia="等线" w:cs="Arial"/>
          <w:b/>
          <w:sz w:val="22"/>
        </w:rPr>
        <w:t>【实务指引】</w:t>
      </w:r>
    </w:p>
    <w:p w14:paraId="30B8F573">
      <w:pPr>
        <w:spacing w:before="120" w:after="120" w:line="288" w:lineRule="auto"/>
        <w:ind w:left="0"/>
        <w:jc w:val="left"/>
      </w:pPr>
    </w:p>
    <w:p w14:paraId="2E9AB650">
      <w:pPr>
        <w:spacing w:before="120" w:after="120" w:line="288" w:lineRule="auto"/>
        <w:ind w:left="0"/>
        <w:jc w:val="left"/>
        <w:rPr>
          <w:rFonts w:ascii="Arial" w:hAnsi="Arial" w:eastAsia="等线" w:cs="Arial"/>
          <w:sz w:val="22"/>
        </w:rPr>
      </w:pPr>
      <w:r>
        <w:rPr>
          <w:rFonts w:ascii="Arial" w:hAnsi="Arial" w:eastAsia="等线" w:cs="Arial"/>
          <w:b/>
          <w:color w:val="245BDB"/>
          <w:sz w:val="22"/>
        </w:rPr>
        <w:t>[数据</w:t>
      </w:r>
      <w:r>
        <w:rPr>
          <w:rFonts w:hint="eastAsia" w:ascii="Arial" w:hAnsi="Arial" w:eastAsia="等线" w:cs="Arial"/>
          <w:b/>
          <w:color w:val="245BDB"/>
          <w:sz w:val="22"/>
          <w:lang w:val="en-US" w:eastAsia="zh-CN"/>
        </w:rPr>
        <w:t>要素</w:t>
      </w:r>
      <w:r>
        <w:rPr>
          <w:rFonts w:ascii="Arial" w:hAnsi="Arial" w:eastAsia="等线" w:cs="Arial"/>
          <w:b/>
          <w:color w:val="245BDB"/>
          <w:sz w:val="22"/>
        </w:rPr>
        <w:t xml:space="preserve">] </w:t>
      </w:r>
      <w:r>
        <w:rPr>
          <w:rFonts w:hint="eastAsia" w:ascii="Arial" w:hAnsi="Arial" w:eastAsia="等线" w:cs="Arial"/>
          <w:b/>
          <w:color w:val="245BDB"/>
          <w:sz w:val="22"/>
        </w:rPr>
        <w:t>​数据知识产权的保护探究</w:t>
      </w:r>
      <w:r>
        <w:rPr>
          <w:rFonts w:ascii="Arial" w:hAnsi="Arial" w:eastAsia="等线" w:cs="Arial"/>
          <w:sz w:val="22"/>
        </w:rPr>
        <w:t xml:space="preserve"> </w:t>
      </w:r>
    </w:p>
    <w:p w14:paraId="72135FBC">
      <w:pPr>
        <w:spacing w:before="120" w:after="120" w:line="288" w:lineRule="auto"/>
        <w:ind w:left="0"/>
        <w:jc w:val="left"/>
        <w:rPr>
          <w:rFonts w:ascii="Arial" w:hAnsi="Arial" w:eastAsia="等线" w:cs="Arial"/>
          <w:sz w:val="22"/>
        </w:rPr>
      </w:pPr>
    </w:p>
    <w:p w14:paraId="0FFC487C">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知识产权强国建设纲要（2021—2035）》首次提出“数据知识产权”概念，强调数据作为新兴知识产权的重要性。目前，尽管数据知识产权保护法律尚未专门制定，但《数据安全法》和《民法典》已从宏观层面确认数据受法律保护。本文探讨在民事纠纷中，大数据作为知识产权的财产权益应如何得到法律保护。这里所指的数据特指具有商业价值的海量电子数据集合，而非传统数据。</w:t>
      </w:r>
    </w:p>
    <w:p w14:paraId="254BC3A9">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根据《民法典》第一百二十三条和第一百二十七条，我国民事法律宏观上规定了数据的法律保护，但未将数据作为特定民事权利客体，也未明确数据保护方式。尽管如此，现有民事法律框架内仍可构建数据保护模式。笔者主张，数据知识产权的财产权益纠纷应适用反不正当竞争法保护。</w:t>
      </w:r>
    </w:p>
    <w:p w14:paraId="4747E778">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一）不能适用知识产权三大法的保护。根据2022年国家知识产权局发布的《数据知识产权试点通知》，北京、上海、江苏、浙江、福建、山东、广东、深圳等8个地区被选为数据知识产权工作的试点。由于数据与专利、商标、著作权的客体不同，且通常不具备著作权法要求的独创性，因此数据财产权的保护不能直接适用《专利法</w:t>
      </w:r>
      <w:r>
        <w:rPr>
          <w:rFonts w:hint="eastAsia" w:ascii="Arial" w:hAnsi="Arial" w:eastAsia="等线" w:cs="Arial"/>
          <w:sz w:val="22"/>
          <w:lang w:eastAsia="zh-CN"/>
        </w:rPr>
        <w:t>》《</w:t>
      </w:r>
      <w:r>
        <w:rPr>
          <w:rFonts w:hint="eastAsia" w:ascii="Arial" w:hAnsi="Arial" w:eastAsia="等线" w:cs="Arial"/>
          <w:sz w:val="22"/>
        </w:rPr>
        <w:t>商标法》和《著作权法》。</w:t>
      </w:r>
    </w:p>
    <w:p w14:paraId="4FB7EC8B">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二）登记制度不能解决数据财产权的民事纠纷。根据《数据知识产权试点通知》，一些地区开始实施数据知识产权登记，但各地做法不一，且登记仅具形式意义。有的地方仅对未公开数据进行登记，这与知识产权登记的“公开换保护”原则相冲突。因此，该登记制度无法有效解决数据财产权纠纷，这些纠纷最终还需通过反不正当竞争法来处理。</w:t>
      </w:r>
    </w:p>
    <w:p w14:paraId="259D2FD0">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三）部分构成商业秘密的传统意义上的数据可单独适用商业秘密保护。商业秘密保护本质上属于反不正当竞争法范畴，通过禁止而非正面确权来实现。尽管有将商业秘密视为排他权的趋势，但目前仍以反向禁止为主。商业秘密保护的对象限于技术信息和经营信息，并不包括一般意义上的大数据。此外，商业秘密保护可能限制数据流通，与数据流通利用的价值取向相悖，因此在制度设计上应尽量避免这种限制。</w:t>
      </w:r>
    </w:p>
    <w:p w14:paraId="3382D947">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我国民事法律体系宏观上保护数据，但未将数据作为特定民事权利客体。若要以民事权利模式保护数据，需创建一种具有绝对性的民事权利。然而，数据来源多样，形式多变，包括文章、新闻、图片等，且不断增长。这些数据涉及公共数据、他人权利或整理的公开信息，难以抽象为民事权利客体，也难以满足传统民事权利的占有、使用、收益、处分要求，因此难以通过民事权利模式保护。</w:t>
      </w:r>
    </w:p>
    <w:p w14:paraId="648366F1">
      <w:pPr>
        <w:numPr>
          <w:ilvl w:val="0"/>
          <w:numId w:val="0"/>
        </w:num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数据是关键的市场资源和生产力要素。由于我国尚未制定专门的数据保护法律，利用《反不正当竞争法》来保护商业数据变得尤为重要。此外，考虑到商业秘密的保密性与数据的可公开性，反不正当竞争法在实际操作中更具优势。</w:t>
      </w:r>
    </w:p>
    <w:p w14:paraId="2A26D547">
      <w:pPr>
        <w:numPr>
          <w:ilvl w:val="0"/>
          <w:numId w:val="0"/>
        </w:numPr>
        <w:spacing w:before="120" w:after="120" w:line="288" w:lineRule="auto"/>
        <w:ind w:firstLine="440" w:firstLineChars="200"/>
        <w:jc w:val="left"/>
        <w:rPr>
          <w:rFonts w:hint="default" w:ascii="Arial" w:hAnsi="Arial" w:eastAsia="等线" w:cs="Arial"/>
          <w:sz w:val="22"/>
          <w:lang w:val="en-US" w:eastAsia="zh-CN"/>
        </w:rPr>
      </w:pPr>
    </w:p>
    <w:p w14:paraId="2A6FA54D">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提供人：</w:t>
      </w:r>
      <w:r>
        <w:rPr>
          <w:rFonts w:hint="eastAsia" w:ascii="Arial" w:hAnsi="Arial" w:eastAsia="等线" w:cs="Arial"/>
          <w:sz w:val="22"/>
          <w:lang w:val="en-US" w:eastAsia="zh-CN"/>
        </w:rPr>
        <w:t>徐浩、王永先 北京市道可特律师事务所</w:t>
      </w:r>
    </w:p>
    <w:p w14:paraId="521099FC">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摘自道可特法视界微信公众号</w:t>
      </w:r>
    </w:p>
    <w:p w14:paraId="522EC5D2">
      <w:pPr>
        <w:spacing w:before="120" w:after="120" w:line="288" w:lineRule="auto"/>
        <w:ind w:left="0"/>
        <w:jc w:val="both"/>
        <w:rPr>
          <w:rFonts w:ascii="Arial" w:hAnsi="Arial" w:eastAsia="等线" w:cs="Arial"/>
          <w:b/>
          <w:sz w:val="22"/>
        </w:rPr>
      </w:pPr>
      <w:r>
        <w:rPr>
          <w:rFonts w:hint="eastAsia" w:ascii="Arial" w:hAnsi="Arial" w:eastAsia="等线" w:cs="Arial"/>
          <w:color w:val="3370FF"/>
          <w:sz w:val="22"/>
          <w:u w:val="single"/>
        </w:rPr>
        <w:t>https://mp.weixin.qq.com/s/jSeJbU8JRGy0JvkIYzxcDg</w:t>
      </w:r>
    </w:p>
    <w:p w14:paraId="67C36A90">
      <w:pPr>
        <w:spacing w:before="120" w:after="120" w:line="288" w:lineRule="auto"/>
        <w:ind w:left="0"/>
        <w:jc w:val="center"/>
        <w:rPr>
          <w:rFonts w:ascii="Arial" w:hAnsi="Arial" w:eastAsia="等线" w:cs="Arial"/>
          <w:b/>
          <w:sz w:val="22"/>
        </w:rPr>
      </w:pPr>
    </w:p>
    <w:p w14:paraId="079A4B29">
      <w:pPr>
        <w:spacing w:before="120" w:after="120" w:line="288" w:lineRule="auto"/>
        <w:ind w:left="0"/>
        <w:jc w:val="center"/>
      </w:pPr>
      <w:r>
        <w:rPr>
          <w:rFonts w:ascii="Arial" w:hAnsi="Arial" w:eastAsia="等线" w:cs="Arial"/>
          <w:b/>
          <w:sz w:val="22"/>
        </w:rPr>
        <w:t>【法律产品】</w:t>
      </w:r>
    </w:p>
    <w:p w14:paraId="449330C6">
      <w:pPr>
        <w:spacing w:before="120" w:after="120" w:line="288" w:lineRule="auto"/>
        <w:ind w:left="0"/>
        <w:jc w:val="left"/>
      </w:pPr>
    </w:p>
    <w:p w14:paraId="5E3459F3">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六和所发布《数据资产入表法律服务指引》</w:t>
      </w:r>
    </w:p>
    <w:p w14:paraId="3E76804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CE0E39D">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10月10日，数据资产入表数享会暨《数据资产入表法律服务指引》发布会，在六和主办、六和温州分所承办下，于温州成功举行。随着数字化的发展，数据资产对企业和国家竞争力至关重要。六和律师事务所因此编制了《数据资产入表指引》，为企业和法律从业者提供数据资产入表的操作手册。指引的背景是数据资产在企业中的重要性日益增加，政府也在推动数据资源的有效利用。然而，管理和运用数据资产、确保其安全合规、通过入表提升企业财务透明度和市场价值，对许多企业和法律从业者来说仍是挑战。为解决这些问题，六和所组织了法律从业者深入研究数据资产相关法律法规，梳理了评估、管理和运用的最佳实践，形成了这本指引。本指引旨在帮助企业和法律从业者理解和掌握数据资产入表的相关知识和技能，提高数据资产管理的专业化、规范化水平。指引详细介绍了数据资产的基础概念、相关法律法规、入表流程、会计和税务处理等内容，并提供了实践指导。</w:t>
      </w:r>
    </w:p>
    <w:p w14:paraId="1900E17F">
      <w:pPr>
        <w:spacing w:before="120" w:after="120" w:line="288" w:lineRule="auto"/>
        <w:ind w:left="0" w:firstLine="440" w:firstLineChars="200"/>
        <w:jc w:val="left"/>
        <w:rPr>
          <w:rFonts w:hint="default" w:ascii="Arial" w:hAnsi="Arial" w:eastAsia="等线" w:cs="Arial"/>
          <w:sz w:val="22"/>
          <w:lang w:val="en-US" w:eastAsia="zh-CN"/>
        </w:rPr>
      </w:pPr>
    </w:p>
    <w:p w14:paraId="054519AE">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六和律师事务所微信公众号 </w:t>
      </w:r>
    </w:p>
    <w:p w14:paraId="28E032FA">
      <w:pPr>
        <w:spacing w:before="120" w:after="120" w:line="288" w:lineRule="auto"/>
        <w:ind w:left="0"/>
        <w:jc w:val="both"/>
        <w:rPr>
          <w:rFonts w:ascii="Arial" w:hAnsi="Arial" w:eastAsia="等线" w:cs="Arial"/>
          <w:b/>
          <w:sz w:val="22"/>
        </w:rPr>
      </w:pPr>
      <w:r>
        <w:rPr>
          <w:rFonts w:hint="eastAsia" w:ascii="Arial" w:hAnsi="Arial" w:eastAsia="等线" w:cs="Arial"/>
          <w:color w:val="3370FF"/>
          <w:sz w:val="22"/>
          <w:u w:val="single"/>
        </w:rPr>
        <w:t>https://mp.weixin.qq.com/s/kZVpvu5r6dPNPinPc84U1Q</w:t>
      </w:r>
    </w:p>
    <w:p w14:paraId="2583139C">
      <w:pPr>
        <w:spacing w:before="120" w:after="120" w:line="288" w:lineRule="auto"/>
        <w:ind w:left="0"/>
        <w:jc w:val="center"/>
        <w:rPr>
          <w:rFonts w:ascii="Arial" w:hAnsi="Arial" w:eastAsia="等线" w:cs="Arial"/>
          <w:b/>
          <w:sz w:val="22"/>
        </w:rPr>
      </w:pPr>
    </w:p>
    <w:p w14:paraId="7D7F2637">
      <w:pPr>
        <w:spacing w:before="120" w:after="120" w:line="288" w:lineRule="auto"/>
        <w:ind w:left="0"/>
        <w:jc w:val="center"/>
      </w:pPr>
      <w:r>
        <w:rPr>
          <w:rFonts w:ascii="Arial" w:hAnsi="Arial" w:eastAsia="等线" w:cs="Arial"/>
          <w:b/>
          <w:sz w:val="22"/>
        </w:rPr>
        <w:t>【动态信息】</w:t>
      </w:r>
    </w:p>
    <w:p w14:paraId="0150EC79">
      <w:pPr>
        <w:spacing w:before="120" w:after="120" w:line="288" w:lineRule="auto"/>
        <w:ind w:left="0"/>
        <w:jc w:val="left"/>
      </w:pPr>
      <w:r>
        <w:rPr>
          <w:rFonts w:ascii="Arial" w:hAnsi="Arial" w:eastAsia="等线" w:cs="Arial"/>
          <w:sz w:val="22"/>
        </w:rPr>
        <w:t xml:space="preserve"> </w:t>
      </w:r>
    </w:p>
    <w:p w14:paraId="2BAB7B2B">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全国网络安全标准化技术委员会归口的9项国家标准正式发布</w:t>
      </w:r>
    </w:p>
    <w:p w14:paraId="61F006F3">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6EB2F253">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国家市场监督管理总局、国家标准化管理委员会发布的中华人民共和国国家标准公告（2024年第22号），全国网络安全标准化技术委员会归口的9项国家标准正式发布，分别为：《网络安全技术  实体鉴别  第2部分:采用鉴别式加密的机制》（GB/T  15843.2-2024 ）《网络安全技术  消息鉴别码  第2部分:采用专门设计的杂奏函数的机制》（GB/T  15852.2-2024）《网络安全技术  杂奏函数  第1部分:总则》（GB/T 18238.1-2024）《网络安全技术 杂奏函数 第2部分:采用分组密码的杂奏函数》（GB/T 18238.2-2024）《网络安全技术 杂凑函数 第3部分:专门设计的杂凑函数》（GB/T 18238.3-2024）《网络安全技术 网络和终端隔离产品技术规范》（GB/T 20279-2024）《网络安全技术信息安全控制》（GB/T22081-2024）《网络安全技术 办公设备安全规范》（GB/T 29244-2024）《网络安全技术 智能门锁网络安全技术规范》（GB/T 44602-2024）。</w:t>
      </w:r>
    </w:p>
    <w:p w14:paraId="52EA92DF">
      <w:pPr>
        <w:spacing w:before="120" w:after="120" w:line="288" w:lineRule="auto"/>
        <w:ind w:firstLine="440" w:firstLineChars="200"/>
        <w:jc w:val="left"/>
        <w:rPr>
          <w:rFonts w:hint="default" w:ascii="Arial" w:hAnsi="Arial" w:eastAsia="等线" w:cs="Arial"/>
          <w:sz w:val="22"/>
          <w:lang w:val="en-US" w:eastAsia="zh-CN"/>
        </w:rPr>
      </w:pPr>
    </w:p>
    <w:p w14:paraId="04B7BCA2">
      <w:pPr>
        <w:spacing w:before="120" w:after="120" w:line="288" w:lineRule="auto"/>
        <w:ind w:left="0"/>
        <w:jc w:val="left"/>
      </w:pPr>
      <w:r>
        <w:rPr>
          <w:rFonts w:ascii="Arial" w:hAnsi="Arial" w:eastAsia="等线" w:cs="Arial"/>
          <w:b/>
          <w:sz w:val="22"/>
        </w:rPr>
        <w:t>来源：</w:t>
      </w:r>
      <w:r>
        <w:rPr>
          <w:rFonts w:hint="eastAsia" w:ascii="Arial" w:hAnsi="Arial" w:eastAsia="等线" w:cs="Arial"/>
          <w:sz w:val="22"/>
          <w:lang w:val="en-US" w:eastAsia="zh-CN"/>
        </w:rPr>
        <w:t>全国网络安全标准化技术委员会秘书处</w:t>
      </w:r>
      <w:r>
        <w:rPr>
          <w:rFonts w:hint="eastAsia" w:ascii="Arial" w:hAnsi="Arial" w:eastAsia="等线" w:cs="Arial"/>
          <w:color w:val="3370FF"/>
          <w:sz w:val="22"/>
          <w:u w:val="single"/>
        </w:rPr>
        <w:t>https://www.tc260.org.cn/front/postDetail.html?id=20241009104335</w:t>
      </w:r>
    </w:p>
    <w:p w14:paraId="144EBAF2">
      <w:pPr>
        <w:spacing w:before="120" w:after="120" w:line="288" w:lineRule="auto"/>
        <w:ind w:left="0"/>
        <w:jc w:val="left"/>
      </w:pPr>
    </w:p>
    <w:p w14:paraId="561D53D1">
      <w:pPr>
        <w:spacing w:before="120" w:after="120" w:line="288" w:lineRule="auto"/>
        <w:ind w:left="0"/>
        <w:jc w:val="left"/>
      </w:pPr>
    </w:p>
    <w:p w14:paraId="63549418">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数字经济</w:t>
      </w:r>
      <w:r>
        <w:rPr>
          <w:rFonts w:ascii="Arial" w:hAnsi="Arial" w:eastAsia="等线" w:cs="Arial"/>
          <w:b/>
          <w:color w:val="245BDB"/>
          <w:sz w:val="22"/>
        </w:rPr>
        <w:t xml:space="preserve">] </w:t>
      </w:r>
      <w:r>
        <w:rPr>
          <w:rFonts w:hint="eastAsia" w:ascii="Arial" w:hAnsi="Arial" w:eastAsia="等线" w:cs="Arial"/>
          <w:b/>
          <w:color w:val="245BDB"/>
          <w:sz w:val="22"/>
        </w:rPr>
        <w:t>六部门部署开展2024年度智能工厂梯度培育行动</w:t>
      </w:r>
    </w:p>
    <w:p w14:paraId="7BE5CDC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345D1A13">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推进制造业数字化转型，工业和信息化部办公厅、国家发展改革委办公厅、财政部办公厅、国务院国资委办公厅、市场监管总局办公厅、国家数据局综合司等六部门于2024年10月28日联合开展2024年度智能工厂梯度培育行动。该行动旨在建立智能工厂、解决方案、标准体系的工作体系，促进智能制造升级。行动将智能工厂分为四个级别进行培育，鼓励企业根据智能制造能力成熟度制定提升计划，并进行评审认定。申报卓越级智能工厂需满足国内领先智能制造水平等条件，并参与核查和技术推广。申报流程包括在线申报、推荐及国家级评审。行动还强调了智能制造数据资源公共服务平台的作用，加强智能工厂分级指导监督，并鼓励政策支持。此次行动对促进我国制造业数字化转型和制造强国战略实施具有重要意义。</w:t>
      </w:r>
    </w:p>
    <w:p w14:paraId="2A00B895">
      <w:pPr>
        <w:spacing w:before="120" w:after="120" w:line="288" w:lineRule="auto"/>
        <w:ind w:firstLine="440" w:firstLineChars="200"/>
        <w:jc w:val="left"/>
        <w:rPr>
          <w:rFonts w:hint="default" w:ascii="Arial" w:hAnsi="Arial" w:eastAsia="等线" w:cs="Arial"/>
          <w:sz w:val="22"/>
          <w:lang w:val="en-US" w:eastAsia="zh-CN"/>
        </w:rPr>
      </w:pPr>
    </w:p>
    <w:p w14:paraId="38E29CF2">
      <w:pPr>
        <w:spacing w:before="120" w:after="120" w:line="288" w:lineRule="auto"/>
        <w:ind w:left="0"/>
        <w:jc w:val="left"/>
        <w:rPr>
          <w:rFonts w:hint="default" w:eastAsia="等线"/>
          <w:b w:val="0"/>
          <w:bCs/>
          <w:lang w:val="en-US" w:eastAsia="zh-CN"/>
        </w:rPr>
      </w:pPr>
      <w:r>
        <w:rPr>
          <w:rFonts w:ascii="Arial" w:hAnsi="Arial" w:eastAsia="等线" w:cs="Arial"/>
          <w:b/>
          <w:sz w:val="22"/>
        </w:rPr>
        <w:t>来源：</w:t>
      </w:r>
      <w:r>
        <w:rPr>
          <w:rFonts w:hint="eastAsia" w:ascii="Arial" w:hAnsi="Arial" w:eastAsia="等线" w:cs="Arial"/>
          <w:b w:val="0"/>
          <w:bCs/>
          <w:sz w:val="22"/>
          <w:lang w:val="en-US" w:eastAsia="zh-CN"/>
        </w:rPr>
        <w:t>中国政府网</w:t>
      </w:r>
    </w:p>
    <w:p w14:paraId="764230F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https://www.gov.cn/zhengce/zhengceku/202410/content_6983678.htm</w:t>
      </w:r>
    </w:p>
    <w:p w14:paraId="32B8A9FE">
      <w:pPr>
        <w:spacing w:before="120" w:after="120" w:line="288" w:lineRule="auto"/>
        <w:ind w:left="0"/>
        <w:jc w:val="left"/>
        <w:rPr>
          <w:rFonts w:hint="eastAsia" w:ascii="Arial" w:hAnsi="Arial" w:eastAsia="等线" w:cs="Arial"/>
          <w:color w:val="3370FF"/>
          <w:sz w:val="22"/>
          <w:u w:val="single"/>
        </w:rPr>
      </w:pPr>
    </w:p>
    <w:p w14:paraId="3D05E443">
      <w:pPr>
        <w:spacing w:before="120" w:after="120" w:line="288" w:lineRule="auto"/>
        <w:ind w:left="0"/>
        <w:jc w:val="left"/>
        <w:rPr>
          <w:rFonts w:hint="eastAsia" w:ascii="Arial" w:hAnsi="Arial" w:eastAsia="等线" w:cs="Arial"/>
          <w:color w:val="3370FF"/>
          <w:sz w:val="22"/>
          <w:u w:val="single"/>
        </w:rPr>
      </w:pPr>
    </w:p>
    <w:p w14:paraId="5C9C1FEC">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数据要素</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"先用后付"模式助力浙江数据知识产权实现商业价值</w:t>
      </w:r>
    </w:p>
    <w:p w14:paraId="136386E3">
      <w:pPr>
        <w:spacing w:before="120" w:after="120" w:line="288" w:lineRule="auto"/>
        <w:ind w:left="0"/>
        <w:jc w:val="left"/>
        <w:rPr>
          <w:rFonts w:hint="eastAsia" w:ascii="Arial" w:hAnsi="Arial" w:eastAsia="等线" w:cs="Arial"/>
          <w:color w:val="3370FF"/>
          <w:sz w:val="22"/>
          <w:u w:val="single"/>
          <w:lang w:val="en-US" w:eastAsia="zh-CN"/>
        </w:rPr>
      </w:pPr>
    </w:p>
    <w:p w14:paraId="131CE5C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浙江省、湖州市、吴兴区市场监管部门协助湖州佐尚服饰贸易有限公司与湖州童盟产业运营服务有限公司达成了一项3000万元的数据知识产权许可交易，这是目前浙江省内金额最高的案例。童盟公司作为湖州童装产业知识产权联盟的运营主体，通过市场监管部门的协助，合法获得了佐尚公司童装批发需求分级数据的知识产权许可使用权。佐尚公司负责人表示，他们没想到销售数据也能创造价值。双方协议“先使用后付费”，童盟公司计划利用这些数据指导企业制定生产经营策略，并提供个性化知识产权服务。浙江省市场监管局相关负责人指出，“先使用后付费”模式降低了企业前期投入，提高了参与数据知识产权转化的积极性，有助于推动数据知识产权市场化。</w:t>
      </w:r>
    </w:p>
    <w:p w14:paraId="39742C23">
      <w:pPr>
        <w:spacing w:before="120" w:after="120" w:line="288" w:lineRule="auto"/>
        <w:ind w:left="0"/>
        <w:jc w:val="left"/>
        <w:rPr>
          <w:rFonts w:hint="eastAsia" w:ascii="Arial" w:hAnsi="Arial" w:eastAsia="等线" w:cs="Arial"/>
          <w:color w:val="3370FF"/>
          <w:sz w:val="22"/>
          <w:u w:val="single"/>
          <w:lang w:val="en-US" w:eastAsia="zh-CN"/>
        </w:rPr>
      </w:pPr>
    </w:p>
    <w:p w14:paraId="4442DC9C">
      <w:pPr>
        <w:spacing w:before="120" w:after="120" w:line="288" w:lineRule="auto"/>
        <w:ind w:left="0"/>
        <w:jc w:val="left"/>
        <w:rPr>
          <w:rFonts w:hint="default" w:ascii="Arial" w:hAnsi="Arial" w:eastAsia="等线" w:cs="Arial"/>
          <w:color w:val="3370FF"/>
          <w:sz w:val="22"/>
          <w:u w:val="single"/>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浙江省知识产权研究与服务中心</w:t>
      </w:r>
    </w:p>
    <w:p w14:paraId="7540F11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"https://mp.weixin.qq.com/s/I0Iqj9YUPzIoOyipMQz1_w" </w:instrText>
      </w:r>
      <w:r>
        <w:rPr>
          <w:rFonts w:hint="eastAsia" w:ascii="Arial" w:hAnsi="Arial" w:eastAsia="等线" w:cs="Arial"/>
          <w:color w:val="3370FF"/>
          <w:sz w:val="22"/>
          <w:u w:val="single"/>
        </w:rPr>
        <w:fldChar w:fldCharType="separate"/>
      </w:r>
      <w:r>
        <w:rPr>
          <w:rFonts w:hint="eastAsia" w:ascii="Arial" w:hAnsi="Arial" w:eastAsia="等线" w:cs="Arial"/>
          <w:color w:val="3370FF"/>
          <w:sz w:val="22"/>
          <w:u w:val="single"/>
        </w:rPr>
        <w:t>https://mp.weixin.qq.com/s/I0Iqj9YUPzIoOyipMQz1_w</w:t>
      </w:r>
      <w:r>
        <w:rPr>
          <w:rFonts w:hint="eastAsia" w:ascii="Arial" w:hAnsi="Arial" w:eastAsia="等线" w:cs="Arial"/>
          <w:color w:val="3370FF"/>
          <w:sz w:val="22"/>
          <w:u w:val="single"/>
        </w:rPr>
        <w:fldChar w:fldCharType="end"/>
      </w:r>
    </w:p>
    <w:p w14:paraId="3BB41ACE">
      <w:pPr>
        <w:spacing w:before="120" w:after="120" w:line="288" w:lineRule="auto"/>
        <w:ind w:left="0"/>
        <w:jc w:val="left"/>
        <w:rPr>
          <w:rFonts w:hint="eastAsia" w:ascii="Arial" w:hAnsi="Arial" w:eastAsia="等线" w:cs="Arial"/>
          <w:color w:val="3370FF"/>
          <w:sz w:val="22"/>
          <w:u w:val="single"/>
        </w:rPr>
      </w:pPr>
    </w:p>
    <w:p w14:paraId="250B50F1">
      <w:pPr>
        <w:spacing w:before="120" w:after="120" w:line="288" w:lineRule="auto"/>
        <w:ind w:left="0"/>
        <w:jc w:val="left"/>
        <w:rPr>
          <w:rFonts w:hint="eastAsia" w:ascii="Arial" w:hAnsi="Arial" w:eastAsia="等线" w:cs="Arial"/>
          <w:color w:val="3370FF"/>
          <w:sz w:val="22"/>
          <w:u w:val="single"/>
        </w:rPr>
      </w:pPr>
    </w:p>
    <w:p w14:paraId="10275BA6">
      <w:pPr>
        <w:spacing w:before="120" w:after="120" w:line="288" w:lineRule="auto"/>
        <w:ind w:left="0"/>
        <w:jc w:val="left"/>
        <w:rPr>
          <w:rFonts w:hint="eastAsia" w:ascii="Arial" w:hAnsi="Arial" w:eastAsia="等线" w:cs="Arial"/>
          <w:color w:val="3370FF"/>
          <w:sz w:val="22"/>
          <w:u w:val="single"/>
        </w:rPr>
      </w:pPr>
    </w:p>
    <w:p w14:paraId="331795F3">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14:paraId="2C5BC384">
      <w:pPr>
        <w:spacing w:before="120" w:after="120" w:line="288" w:lineRule="auto"/>
        <w:ind w:left="0"/>
        <w:jc w:val="left"/>
        <w:rPr>
          <w:rFonts w:ascii="Arial" w:hAnsi="Arial" w:eastAsia="等线" w:cs="Arial"/>
          <w:sz w:val="22"/>
        </w:rPr>
      </w:pPr>
    </w:p>
    <w:p w14:paraId="67E8D6A4">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14:paraId="77147EA4">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214C1399"/>
    <w:p w14:paraId="7CB6E7EB"/>
    <w:p w14:paraId="16F7E784"/>
    <w:p w14:paraId="0B611A4E"/>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ingFang SC">
    <w:altName w:val="ksdb"/>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0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F4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C60DE"/>
    <w:rsid w:val="0DEC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2024-11-21T06:21:00Z</dcterms:created>
  <dc:creator>BL</dc:creator>
  <cp:lastModifiedBy>BL</cp:lastModifiedBy>
  <dcterms:modified xsi:type="dcterms:W3CDTF">2024-11-22T03:55:57Z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36D46B51F4E2419F8B1B4E3A36C4CEBC_11</vt:lpwstr>
  </property>
</Properties>
</file>